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spacing w:line="360" w:lineRule="auto"/>
        <w:ind w:firstLine="0" w:firstLineChars="0"/>
        <w:rPr>
          <w:color w:val="auto"/>
        </w:rPr>
      </w:pPr>
    </w:p>
    <w:p>
      <w:pPr>
        <w:spacing w:line="360" w:lineRule="auto"/>
        <w:ind w:firstLine="0" w:firstLineChars="0"/>
        <w:rPr>
          <w:rFonts w:ascii="宋体" w:hAnsi="宋体" w:cs="Cambria"/>
          <w:b/>
          <w:snapToGrid w:val="0"/>
          <w:color w:val="auto"/>
          <w:kern w:val="0"/>
          <w:sz w:val="52"/>
          <w:szCs w:val="84"/>
        </w:rPr>
      </w:pPr>
    </w:p>
    <w:p>
      <w:pPr>
        <w:spacing w:line="360" w:lineRule="auto"/>
        <w:ind w:firstLine="0" w:firstLineChars="0"/>
        <w:jc w:val="center"/>
        <w:rPr>
          <w:rFonts w:ascii="Times New Roman" w:hAnsi="Times New Roman" w:cs="Times New Roman"/>
          <w:b/>
          <w:snapToGrid w:val="0"/>
          <w:color w:val="auto"/>
          <w:kern w:val="0"/>
          <w:sz w:val="48"/>
          <w:szCs w:val="84"/>
        </w:rPr>
      </w:pPr>
      <w:r>
        <w:rPr>
          <w:rFonts w:hint="eastAsia" w:ascii="Times New Roman" w:hAnsi="Times New Roman" w:cs="Times New Roman"/>
          <w:b/>
          <w:snapToGrid w:val="0"/>
          <w:color w:val="auto"/>
          <w:kern w:val="0"/>
          <w:sz w:val="48"/>
          <w:szCs w:val="84"/>
        </w:rPr>
        <w:t>重庆三峡银行</w:t>
      </w:r>
    </w:p>
    <w:p>
      <w:pPr>
        <w:spacing w:line="360" w:lineRule="auto"/>
        <w:ind w:firstLine="0" w:firstLineChars="0"/>
        <w:jc w:val="center"/>
        <w:rPr>
          <w:rFonts w:ascii="Times New Roman" w:hAnsi="Times New Roman" w:cs="Times New Roman"/>
          <w:b/>
          <w:snapToGrid w:val="0"/>
          <w:color w:val="auto"/>
          <w:kern w:val="0"/>
          <w:sz w:val="48"/>
          <w:szCs w:val="84"/>
          <w:u w:val="none"/>
        </w:rPr>
      </w:pPr>
      <w:r>
        <w:rPr>
          <w:rFonts w:hint="eastAsia" w:ascii="Times New Roman" w:hAnsi="Times New Roman" w:cs="Times New Roman"/>
          <w:b/>
          <w:snapToGrid w:val="0"/>
          <w:color w:val="auto"/>
          <w:kern w:val="0"/>
          <w:sz w:val="48"/>
          <w:szCs w:val="84"/>
          <w:u w:val="none"/>
        </w:rPr>
        <w:t>TAP交换机采购项目</w:t>
      </w:r>
    </w:p>
    <w:p>
      <w:pPr>
        <w:spacing w:line="360" w:lineRule="auto"/>
        <w:ind w:firstLine="0" w:firstLineChars="0"/>
        <w:jc w:val="left"/>
        <w:rPr>
          <w:rFonts w:ascii="Times New Roman" w:hAnsi="Times New Roman" w:cs="Times New Roman"/>
          <w:snapToGrid w:val="0"/>
          <w:color w:val="auto"/>
          <w:kern w:val="0"/>
          <w:sz w:val="18"/>
        </w:rPr>
      </w:pPr>
    </w:p>
    <w:p>
      <w:pPr>
        <w:spacing w:line="360" w:lineRule="auto"/>
        <w:ind w:firstLine="0" w:firstLineChars="0"/>
        <w:jc w:val="left"/>
        <w:rPr>
          <w:rFonts w:ascii="Times New Roman" w:hAnsi="Times New Roman" w:cs="Times New Roman"/>
          <w:snapToGrid w:val="0"/>
          <w:color w:val="auto"/>
          <w:kern w:val="0"/>
          <w:sz w:val="20"/>
        </w:rPr>
      </w:pPr>
    </w:p>
    <w:p>
      <w:pPr>
        <w:spacing w:line="360" w:lineRule="auto"/>
        <w:ind w:firstLine="0" w:firstLineChars="0"/>
        <w:jc w:val="left"/>
        <w:rPr>
          <w:rFonts w:ascii="Times New Roman" w:hAnsi="Times New Roman" w:cs="Times New Roman"/>
          <w:snapToGrid w:val="0"/>
          <w:color w:val="auto"/>
          <w:kern w:val="0"/>
          <w:sz w:val="20"/>
        </w:rPr>
      </w:pPr>
    </w:p>
    <w:p>
      <w:pPr>
        <w:spacing w:line="360" w:lineRule="auto"/>
        <w:ind w:firstLine="0" w:firstLineChars="0"/>
        <w:jc w:val="left"/>
        <w:rPr>
          <w:rFonts w:ascii="Times New Roman" w:hAnsi="Times New Roman" w:cs="Times New Roman"/>
          <w:snapToGrid w:val="0"/>
          <w:color w:val="auto"/>
          <w:kern w:val="0"/>
          <w:sz w:val="20"/>
        </w:rPr>
      </w:pPr>
    </w:p>
    <w:p>
      <w:pPr>
        <w:spacing w:line="360" w:lineRule="auto"/>
        <w:ind w:firstLine="0" w:firstLineChars="0"/>
        <w:jc w:val="left"/>
        <w:rPr>
          <w:rFonts w:ascii="Times New Roman" w:hAnsi="Times New Roman" w:cs="Times New Roman"/>
          <w:snapToGrid w:val="0"/>
          <w:color w:val="auto"/>
          <w:kern w:val="0"/>
          <w:sz w:val="20"/>
        </w:rPr>
      </w:pPr>
    </w:p>
    <w:p>
      <w:pPr>
        <w:spacing w:line="360" w:lineRule="auto"/>
        <w:ind w:firstLine="0" w:firstLineChars="0"/>
        <w:jc w:val="left"/>
        <w:rPr>
          <w:rFonts w:ascii="Times New Roman" w:hAnsi="Times New Roman" w:cs="Times New Roman"/>
          <w:snapToGrid w:val="0"/>
          <w:color w:val="auto"/>
          <w:kern w:val="0"/>
          <w:sz w:val="20"/>
        </w:rPr>
      </w:pPr>
    </w:p>
    <w:p>
      <w:pPr>
        <w:spacing w:line="360" w:lineRule="auto"/>
        <w:ind w:firstLine="0" w:firstLineChars="0"/>
        <w:jc w:val="left"/>
        <w:rPr>
          <w:rFonts w:ascii="Times New Roman" w:hAnsi="Times New Roman" w:cs="Times New Roman"/>
          <w:snapToGrid w:val="0"/>
          <w:color w:val="auto"/>
          <w:kern w:val="0"/>
          <w:sz w:val="20"/>
        </w:rPr>
      </w:pPr>
    </w:p>
    <w:p>
      <w:pPr>
        <w:spacing w:line="360" w:lineRule="auto"/>
        <w:ind w:firstLine="0" w:firstLineChars="0"/>
        <w:jc w:val="center"/>
        <w:rPr>
          <w:rFonts w:ascii="Times New Roman" w:hAnsi="Times New Roman" w:cs="Times New Roman"/>
          <w:b/>
          <w:snapToGrid w:val="0"/>
          <w:color w:val="auto"/>
          <w:kern w:val="0"/>
          <w:sz w:val="84"/>
          <w:szCs w:val="84"/>
        </w:rPr>
      </w:pPr>
      <w:r>
        <w:rPr>
          <w:rFonts w:hint="eastAsia" w:ascii="Times New Roman" w:hAnsi="Times New Roman" w:cs="Times New Roman"/>
          <w:b/>
          <w:snapToGrid w:val="0"/>
          <w:color w:val="auto"/>
          <w:kern w:val="0"/>
          <w:sz w:val="96"/>
          <w:szCs w:val="96"/>
        </w:rPr>
        <w:t>比选</w:t>
      </w:r>
      <w:r>
        <w:rPr>
          <w:rFonts w:ascii="Times New Roman" w:hAnsi="Times New Roman" w:cs="Times New Roman"/>
          <w:b/>
          <w:snapToGrid w:val="0"/>
          <w:color w:val="auto"/>
          <w:kern w:val="0"/>
          <w:sz w:val="96"/>
          <w:szCs w:val="96"/>
        </w:rPr>
        <w:t>文件</w:t>
      </w:r>
    </w:p>
    <w:p>
      <w:pPr>
        <w:spacing w:line="360" w:lineRule="auto"/>
        <w:ind w:firstLine="0" w:firstLineChars="0"/>
        <w:jc w:val="center"/>
        <w:rPr>
          <w:rFonts w:ascii="Times New Roman" w:hAnsi="Times New Roman" w:cs="Times New Roman"/>
          <w:b/>
          <w:snapToGrid w:val="0"/>
          <w:color w:val="auto"/>
          <w:kern w:val="0"/>
          <w:szCs w:val="28"/>
        </w:rPr>
      </w:pPr>
    </w:p>
    <w:p>
      <w:pPr>
        <w:spacing w:line="360" w:lineRule="auto"/>
        <w:ind w:firstLine="0" w:firstLineChars="0"/>
        <w:jc w:val="center"/>
        <w:rPr>
          <w:rFonts w:ascii="Times New Roman" w:hAnsi="Times New Roman" w:cs="Times New Roman"/>
          <w:b/>
          <w:snapToGrid w:val="0"/>
          <w:color w:val="auto"/>
          <w:kern w:val="0"/>
          <w:szCs w:val="28"/>
        </w:rPr>
      </w:pPr>
    </w:p>
    <w:p>
      <w:pPr>
        <w:spacing w:line="360" w:lineRule="auto"/>
        <w:ind w:firstLine="0" w:firstLineChars="0"/>
        <w:jc w:val="center"/>
        <w:rPr>
          <w:rFonts w:ascii="Times New Roman" w:hAnsi="Times New Roman" w:cs="Times New Roman"/>
          <w:b/>
          <w:snapToGrid w:val="0"/>
          <w:color w:val="auto"/>
          <w:kern w:val="0"/>
          <w:szCs w:val="28"/>
        </w:rPr>
      </w:pPr>
    </w:p>
    <w:p>
      <w:pPr>
        <w:ind w:firstLine="0" w:firstLineChars="0"/>
        <w:rPr>
          <w:color w:val="auto"/>
        </w:rPr>
      </w:pPr>
    </w:p>
    <w:p>
      <w:pPr>
        <w:pStyle w:val="2"/>
        <w:ind w:firstLine="480"/>
        <w:rPr>
          <w:color w:val="auto"/>
        </w:rPr>
      </w:pPr>
    </w:p>
    <w:p>
      <w:pPr>
        <w:ind w:firstLine="480"/>
        <w:rPr>
          <w:color w:val="auto"/>
        </w:rPr>
      </w:pPr>
    </w:p>
    <w:p>
      <w:pPr>
        <w:ind w:firstLine="480"/>
        <w:rPr>
          <w:color w:val="auto"/>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color w:val="auto"/>
                <w:kern w:val="0"/>
                <w:sz w:val="30"/>
                <w:szCs w:val="30"/>
              </w:rPr>
            </w:pPr>
            <w:r>
              <w:rPr>
                <w:rFonts w:hint="eastAsia" w:ascii="Times New Roman" w:hAnsi="Times New Roman" w:cs="Times New Roman"/>
                <w:b/>
                <w:snapToGrid w:val="0"/>
                <w:color w:val="auto"/>
                <w:kern w:val="0"/>
                <w:sz w:val="30"/>
                <w:szCs w:val="30"/>
              </w:rPr>
              <w:t>比选人</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rPr>
            </w:pPr>
            <w:r>
              <w:rPr>
                <w:rFonts w:hint="eastAsia" w:ascii="Times New Roman" w:hAnsi="Times New Roman" w:cs="Times New Roman"/>
                <w:b/>
                <w:snapToGrid w:val="0"/>
                <w:color w:val="auto"/>
                <w:kern w:val="0"/>
                <w:sz w:val="30"/>
                <w:szCs w:val="30"/>
              </w:rPr>
              <w:t>重庆三峡银行股份有限公司</w:t>
            </w:r>
          </w:p>
        </w:tc>
        <w:tc>
          <w:tcPr>
            <w:tcW w:w="2020" w:type="dxa"/>
            <w:vMerge w:val="restart"/>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rPr>
            </w:pPr>
            <w:r>
              <w:rPr>
                <w:rFonts w:hint="eastAsia" w:ascii="Times New Roman" w:hAnsi="Times New Roman" w:cs="Times New Roman"/>
                <w:bCs/>
                <w:snapToGrid w:val="0"/>
                <w:color w:val="auto"/>
                <w:kern w:val="0"/>
                <w:szCs w:val="24"/>
              </w:rPr>
              <w:t>（参选人公章）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color w:val="auto"/>
                <w:kern w:val="0"/>
                <w:sz w:val="30"/>
                <w:szCs w:val="30"/>
              </w:rPr>
            </w:pPr>
            <w:r>
              <w:rPr>
                <w:rFonts w:hint="eastAsia" w:ascii="Times New Roman" w:hAnsi="Times New Roman" w:cs="Times New Roman"/>
                <w:b/>
                <w:snapToGrid w:val="0"/>
                <w:color w:val="auto"/>
                <w:kern w:val="0"/>
                <w:sz w:val="30"/>
                <w:szCs w:val="30"/>
              </w:rPr>
              <w:t>发布时间</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rPr>
            </w:pPr>
            <w:r>
              <w:rPr>
                <w:rFonts w:hint="eastAsia" w:ascii="Times New Roman" w:hAnsi="Times New Roman" w:cs="Times New Roman"/>
                <w:b/>
                <w:snapToGrid w:val="0"/>
                <w:color w:val="auto"/>
                <w:kern w:val="0"/>
                <w:sz w:val="30"/>
                <w:szCs w:val="30"/>
                <w:lang w:val="en-US" w:eastAsia="zh-CN"/>
              </w:rPr>
              <w:t>2024</w:t>
            </w:r>
            <w:r>
              <w:rPr>
                <w:rFonts w:ascii="Times New Roman" w:hAnsi="Times New Roman" w:cs="Times New Roman"/>
                <w:b/>
                <w:snapToGrid w:val="0"/>
                <w:color w:val="auto"/>
                <w:kern w:val="0"/>
                <w:sz w:val="30"/>
                <w:szCs w:val="30"/>
              </w:rPr>
              <w:t>年</w:t>
            </w:r>
            <w:r>
              <w:rPr>
                <w:rFonts w:hint="eastAsia" w:ascii="Times New Roman" w:hAnsi="Times New Roman" w:cs="Times New Roman"/>
                <w:b/>
                <w:snapToGrid w:val="0"/>
                <w:color w:val="auto"/>
                <w:kern w:val="0"/>
                <w:sz w:val="30"/>
                <w:szCs w:val="30"/>
                <w:lang w:val="en-US" w:eastAsia="zh-CN"/>
              </w:rPr>
              <w:t>3</w:t>
            </w:r>
            <w:r>
              <w:rPr>
                <w:rFonts w:ascii="Times New Roman" w:hAnsi="Times New Roman" w:cs="Times New Roman"/>
                <w:b/>
                <w:snapToGrid w:val="0"/>
                <w:color w:val="auto"/>
                <w:kern w:val="0"/>
                <w:sz w:val="30"/>
                <w:szCs w:val="30"/>
              </w:rPr>
              <w:t>月</w:t>
            </w:r>
          </w:p>
        </w:tc>
        <w:tc>
          <w:tcPr>
            <w:tcW w:w="2020" w:type="dxa"/>
            <w:vMerge w:val="continue"/>
            <w:tcBorders>
              <w:tl2br w:val="nil"/>
              <w:tr2bl w:val="nil"/>
            </w:tcBorders>
            <w:vAlign w:val="center"/>
          </w:tcPr>
          <w:p>
            <w:pPr>
              <w:spacing w:line="360" w:lineRule="auto"/>
              <w:ind w:firstLine="0" w:firstLineChars="0"/>
              <w:jc w:val="center"/>
              <w:rPr>
                <w:rFonts w:ascii="Times New Roman" w:hAnsi="Times New Roman" w:cs="Times New Roman"/>
                <w:b/>
                <w:snapToGrid w:val="0"/>
                <w:color w:val="auto"/>
                <w:kern w:val="0"/>
                <w:sz w:val="30"/>
                <w:szCs w:val="30"/>
              </w:rPr>
            </w:pPr>
          </w:p>
        </w:tc>
      </w:tr>
    </w:tbl>
    <w:p>
      <w:pPr>
        <w:ind w:firstLine="480"/>
        <w:rPr>
          <w:color w:val="auto"/>
        </w:rPr>
      </w:pPr>
    </w:p>
    <w:p>
      <w:pPr>
        <w:ind w:firstLine="480"/>
        <w:rPr>
          <w:color w:val="auto"/>
        </w:rPr>
        <w:sectPr>
          <w:pgSz w:w="11906" w:h="16838"/>
          <w:pgMar w:top="1440" w:right="1800" w:bottom="1440" w:left="1800" w:header="851" w:footer="992" w:gutter="0"/>
          <w:pgNumType w:start="1"/>
          <w:cols w:space="720" w:num="1"/>
          <w:docGrid w:type="lines" w:linePitch="312" w:charSpace="0"/>
        </w:sectPr>
      </w:pPr>
    </w:p>
    <w:p>
      <w:pPr>
        <w:snapToGrid w:val="0"/>
        <w:spacing w:line="360" w:lineRule="auto"/>
        <w:ind w:firstLine="0" w:firstLineChars="0"/>
        <w:jc w:val="center"/>
        <w:rPr>
          <w:rFonts w:ascii="宋体" w:hAnsi="宋体"/>
          <w:b/>
          <w:snapToGrid w:val="0"/>
          <w:color w:val="auto"/>
          <w:kern w:val="0"/>
          <w:sz w:val="44"/>
          <w:szCs w:val="44"/>
        </w:rPr>
      </w:pPr>
      <w:r>
        <w:rPr>
          <w:rFonts w:hint="eastAsia" w:ascii="宋体" w:hAnsi="宋体"/>
          <w:b/>
          <w:snapToGrid w:val="0"/>
          <w:color w:val="auto"/>
          <w:kern w:val="0"/>
          <w:sz w:val="44"/>
          <w:szCs w:val="44"/>
        </w:rPr>
        <w:t>目录</w:t>
      </w:r>
    </w:p>
    <w:p>
      <w:pPr>
        <w:pStyle w:val="14"/>
        <w:tabs>
          <w:tab w:val="right" w:leader="dot" w:pos="8306"/>
        </w:tabs>
        <w:rPr>
          <w:color w:val="auto"/>
        </w:rPr>
      </w:pPr>
      <w:r>
        <w:rPr>
          <w:rFonts w:ascii="宋体" w:hAnsi="宋体"/>
          <w:snapToGrid w:val="0"/>
          <w:color w:val="auto"/>
          <w:kern w:val="0"/>
          <w:szCs w:val="24"/>
        </w:rPr>
        <w:fldChar w:fldCharType="begin"/>
      </w:r>
      <w:r>
        <w:rPr>
          <w:rFonts w:hint="eastAsia" w:ascii="宋体" w:hAnsi="宋体"/>
          <w:snapToGrid w:val="0"/>
          <w:color w:val="auto"/>
          <w:kern w:val="0"/>
          <w:szCs w:val="24"/>
        </w:rPr>
        <w:instrText xml:space="preserve">TOC \o "1-1" \h \z \u</w:instrText>
      </w:r>
      <w:r>
        <w:rPr>
          <w:rFonts w:ascii="宋体" w:hAnsi="宋体"/>
          <w:snapToGrid w:val="0"/>
          <w:color w:val="auto"/>
          <w:kern w:val="0"/>
          <w:szCs w:val="24"/>
        </w:rPr>
        <w:fldChar w:fldCharType="separate"/>
      </w:r>
      <w:r>
        <w:rPr>
          <w:rFonts w:ascii="宋体" w:hAnsi="宋体"/>
          <w:snapToGrid w:val="0"/>
          <w:color w:val="auto"/>
          <w:kern w:val="0"/>
          <w:szCs w:val="24"/>
        </w:rPr>
        <w:fldChar w:fldCharType="begin"/>
      </w:r>
      <w:r>
        <w:rPr>
          <w:rFonts w:ascii="宋体" w:hAnsi="宋体"/>
          <w:snapToGrid w:val="0"/>
          <w:color w:val="auto"/>
          <w:kern w:val="0"/>
          <w:szCs w:val="24"/>
        </w:rPr>
        <w:instrText xml:space="preserve"> HYPERLINK \l _Toc28219 </w:instrText>
      </w:r>
      <w:r>
        <w:rPr>
          <w:rFonts w:ascii="宋体" w:hAnsi="宋体"/>
          <w:snapToGrid w:val="0"/>
          <w:color w:val="auto"/>
          <w:kern w:val="0"/>
          <w:szCs w:val="24"/>
        </w:rPr>
        <w:fldChar w:fldCharType="separate"/>
      </w:r>
      <w:r>
        <w:rPr>
          <w:rFonts w:hint="eastAsia"/>
          <w:color w:val="auto"/>
        </w:rPr>
        <w:t>第一章 比选公告</w:t>
      </w:r>
      <w:bookmarkStart w:id="98" w:name="_GoBack"/>
      <w:bookmarkEnd w:id="98"/>
      <w:r>
        <w:rPr>
          <w:color w:val="auto"/>
        </w:rPr>
        <w:tab/>
      </w:r>
      <w:r>
        <w:rPr>
          <w:color w:val="auto"/>
        </w:rPr>
        <w:fldChar w:fldCharType="begin"/>
      </w:r>
      <w:r>
        <w:rPr>
          <w:color w:val="auto"/>
        </w:rPr>
        <w:instrText xml:space="preserve"> PAGEREF _Toc28219 \h </w:instrText>
      </w:r>
      <w:r>
        <w:rPr>
          <w:color w:val="auto"/>
        </w:rPr>
        <w:fldChar w:fldCharType="separate"/>
      </w:r>
      <w:r>
        <w:rPr>
          <w:color w:val="auto"/>
        </w:rPr>
        <w:t>1</w:t>
      </w:r>
      <w:r>
        <w:rPr>
          <w:color w:val="auto"/>
        </w:rPr>
        <w:fldChar w:fldCharType="end"/>
      </w:r>
      <w:r>
        <w:rPr>
          <w:rFonts w:ascii="宋体" w:hAnsi="宋体"/>
          <w:snapToGrid w:val="0"/>
          <w:color w:val="auto"/>
          <w:kern w:val="0"/>
          <w:szCs w:val="24"/>
        </w:rPr>
        <w:fldChar w:fldCharType="end"/>
      </w:r>
    </w:p>
    <w:p>
      <w:pPr>
        <w:pStyle w:val="14"/>
        <w:tabs>
          <w:tab w:val="right" w:leader="dot" w:pos="8306"/>
        </w:tabs>
        <w:rPr>
          <w:color w:val="auto"/>
        </w:rPr>
      </w:pPr>
      <w:r>
        <w:rPr>
          <w:rFonts w:ascii="宋体" w:hAnsi="宋体"/>
          <w:snapToGrid w:val="0"/>
          <w:color w:val="auto"/>
          <w:kern w:val="0"/>
          <w:szCs w:val="24"/>
        </w:rPr>
        <w:fldChar w:fldCharType="begin"/>
      </w:r>
      <w:r>
        <w:rPr>
          <w:rFonts w:ascii="宋体" w:hAnsi="宋体"/>
          <w:snapToGrid w:val="0"/>
          <w:color w:val="auto"/>
          <w:kern w:val="0"/>
          <w:szCs w:val="24"/>
        </w:rPr>
        <w:instrText xml:space="preserve"> HYPERLINK \l _Toc8463 </w:instrText>
      </w:r>
      <w:r>
        <w:rPr>
          <w:rFonts w:ascii="宋体" w:hAnsi="宋体"/>
          <w:snapToGrid w:val="0"/>
          <w:color w:val="auto"/>
          <w:kern w:val="0"/>
          <w:szCs w:val="24"/>
        </w:rPr>
        <w:fldChar w:fldCharType="separate"/>
      </w:r>
      <w:r>
        <w:rPr>
          <w:rFonts w:hint="eastAsia"/>
          <w:color w:val="auto"/>
        </w:rPr>
        <w:t>第二章 参选人须知</w:t>
      </w:r>
      <w:r>
        <w:rPr>
          <w:color w:val="auto"/>
        </w:rPr>
        <w:tab/>
      </w:r>
      <w:r>
        <w:rPr>
          <w:color w:val="auto"/>
        </w:rPr>
        <w:fldChar w:fldCharType="begin"/>
      </w:r>
      <w:r>
        <w:rPr>
          <w:color w:val="auto"/>
        </w:rPr>
        <w:instrText xml:space="preserve"> PAGEREF _Toc8463 \h </w:instrText>
      </w:r>
      <w:r>
        <w:rPr>
          <w:color w:val="auto"/>
        </w:rPr>
        <w:fldChar w:fldCharType="separate"/>
      </w:r>
      <w:r>
        <w:rPr>
          <w:color w:val="auto"/>
        </w:rPr>
        <w:t>6</w:t>
      </w:r>
      <w:r>
        <w:rPr>
          <w:color w:val="auto"/>
        </w:rPr>
        <w:fldChar w:fldCharType="end"/>
      </w:r>
      <w:r>
        <w:rPr>
          <w:rFonts w:ascii="宋体" w:hAnsi="宋体"/>
          <w:snapToGrid w:val="0"/>
          <w:color w:val="auto"/>
          <w:kern w:val="0"/>
          <w:szCs w:val="24"/>
        </w:rPr>
        <w:fldChar w:fldCharType="end"/>
      </w:r>
    </w:p>
    <w:p>
      <w:pPr>
        <w:pStyle w:val="14"/>
        <w:tabs>
          <w:tab w:val="right" w:leader="dot" w:pos="8306"/>
        </w:tabs>
        <w:rPr>
          <w:color w:val="auto"/>
        </w:rPr>
      </w:pPr>
      <w:r>
        <w:rPr>
          <w:rFonts w:ascii="宋体" w:hAnsi="宋体"/>
          <w:snapToGrid w:val="0"/>
          <w:color w:val="auto"/>
          <w:kern w:val="0"/>
          <w:szCs w:val="24"/>
        </w:rPr>
        <w:fldChar w:fldCharType="begin"/>
      </w:r>
      <w:r>
        <w:rPr>
          <w:rFonts w:ascii="宋体" w:hAnsi="宋体"/>
          <w:snapToGrid w:val="0"/>
          <w:color w:val="auto"/>
          <w:kern w:val="0"/>
          <w:szCs w:val="24"/>
        </w:rPr>
        <w:instrText xml:space="preserve"> HYPERLINK \l _Toc21418 </w:instrText>
      </w:r>
      <w:r>
        <w:rPr>
          <w:rFonts w:ascii="宋体" w:hAnsi="宋体"/>
          <w:snapToGrid w:val="0"/>
          <w:color w:val="auto"/>
          <w:kern w:val="0"/>
          <w:szCs w:val="24"/>
        </w:rPr>
        <w:fldChar w:fldCharType="separate"/>
      </w:r>
      <w:r>
        <w:rPr>
          <w:rFonts w:hint="eastAsia"/>
          <w:color w:val="auto"/>
        </w:rPr>
        <w:t>第三章 项目要求</w:t>
      </w:r>
      <w:r>
        <w:rPr>
          <w:color w:val="auto"/>
        </w:rPr>
        <w:tab/>
      </w:r>
      <w:r>
        <w:rPr>
          <w:color w:val="auto"/>
        </w:rPr>
        <w:fldChar w:fldCharType="begin"/>
      </w:r>
      <w:r>
        <w:rPr>
          <w:color w:val="auto"/>
        </w:rPr>
        <w:instrText xml:space="preserve"> PAGEREF _Toc21418 \h </w:instrText>
      </w:r>
      <w:r>
        <w:rPr>
          <w:color w:val="auto"/>
        </w:rPr>
        <w:fldChar w:fldCharType="separate"/>
      </w:r>
      <w:r>
        <w:rPr>
          <w:color w:val="auto"/>
        </w:rPr>
        <w:t>15</w:t>
      </w:r>
      <w:r>
        <w:rPr>
          <w:color w:val="auto"/>
        </w:rPr>
        <w:fldChar w:fldCharType="end"/>
      </w:r>
      <w:r>
        <w:rPr>
          <w:rFonts w:ascii="宋体" w:hAnsi="宋体"/>
          <w:snapToGrid w:val="0"/>
          <w:color w:val="auto"/>
          <w:kern w:val="0"/>
          <w:szCs w:val="24"/>
        </w:rPr>
        <w:fldChar w:fldCharType="end"/>
      </w:r>
    </w:p>
    <w:p>
      <w:pPr>
        <w:pStyle w:val="14"/>
        <w:tabs>
          <w:tab w:val="right" w:leader="dot" w:pos="8306"/>
        </w:tabs>
        <w:rPr>
          <w:color w:val="auto"/>
        </w:rPr>
      </w:pPr>
      <w:r>
        <w:rPr>
          <w:rFonts w:ascii="宋体" w:hAnsi="宋体"/>
          <w:snapToGrid w:val="0"/>
          <w:color w:val="auto"/>
          <w:kern w:val="0"/>
          <w:szCs w:val="24"/>
        </w:rPr>
        <w:fldChar w:fldCharType="begin"/>
      </w:r>
      <w:r>
        <w:rPr>
          <w:rFonts w:ascii="宋体" w:hAnsi="宋体"/>
          <w:snapToGrid w:val="0"/>
          <w:color w:val="auto"/>
          <w:kern w:val="0"/>
          <w:szCs w:val="24"/>
        </w:rPr>
        <w:instrText xml:space="preserve"> HYPERLINK \l _Toc6277 </w:instrText>
      </w:r>
      <w:r>
        <w:rPr>
          <w:rFonts w:ascii="宋体" w:hAnsi="宋体"/>
          <w:snapToGrid w:val="0"/>
          <w:color w:val="auto"/>
          <w:kern w:val="0"/>
          <w:szCs w:val="24"/>
        </w:rPr>
        <w:fldChar w:fldCharType="separate"/>
      </w:r>
      <w:r>
        <w:rPr>
          <w:rFonts w:hint="eastAsia"/>
          <w:color w:val="auto"/>
        </w:rPr>
        <w:t>第四章 评审办法</w:t>
      </w:r>
      <w:r>
        <w:rPr>
          <w:color w:val="auto"/>
        </w:rPr>
        <w:tab/>
      </w:r>
      <w:r>
        <w:rPr>
          <w:color w:val="auto"/>
        </w:rPr>
        <w:fldChar w:fldCharType="begin"/>
      </w:r>
      <w:r>
        <w:rPr>
          <w:color w:val="auto"/>
        </w:rPr>
        <w:instrText xml:space="preserve"> PAGEREF _Toc6277 \h </w:instrText>
      </w:r>
      <w:r>
        <w:rPr>
          <w:color w:val="auto"/>
        </w:rPr>
        <w:fldChar w:fldCharType="separate"/>
      </w:r>
      <w:r>
        <w:rPr>
          <w:color w:val="auto"/>
        </w:rPr>
        <w:t>23</w:t>
      </w:r>
      <w:r>
        <w:rPr>
          <w:color w:val="auto"/>
        </w:rPr>
        <w:fldChar w:fldCharType="end"/>
      </w:r>
      <w:r>
        <w:rPr>
          <w:rFonts w:ascii="宋体" w:hAnsi="宋体"/>
          <w:snapToGrid w:val="0"/>
          <w:color w:val="auto"/>
          <w:kern w:val="0"/>
          <w:szCs w:val="24"/>
        </w:rPr>
        <w:fldChar w:fldCharType="end"/>
      </w:r>
    </w:p>
    <w:p>
      <w:pPr>
        <w:pStyle w:val="14"/>
        <w:tabs>
          <w:tab w:val="right" w:leader="dot" w:pos="8306"/>
        </w:tabs>
        <w:rPr>
          <w:color w:val="auto"/>
        </w:rPr>
      </w:pPr>
      <w:r>
        <w:rPr>
          <w:rFonts w:ascii="宋体" w:hAnsi="宋体"/>
          <w:snapToGrid w:val="0"/>
          <w:color w:val="auto"/>
          <w:kern w:val="0"/>
          <w:szCs w:val="24"/>
        </w:rPr>
        <w:fldChar w:fldCharType="begin"/>
      </w:r>
      <w:r>
        <w:rPr>
          <w:rFonts w:ascii="宋体" w:hAnsi="宋体"/>
          <w:snapToGrid w:val="0"/>
          <w:color w:val="auto"/>
          <w:kern w:val="0"/>
          <w:szCs w:val="24"/>
        </w:rPr>
        <w:instrText xml:space="preserve"> HYPERLINK \l _Toc14879 </w:instrText>
      </w:r>
      <w:r>
        <w:rPr>
          <w:rFonts w:ascii="宋体" w:hAnsi="宋体"/>
          <w:snapToGrid w:val="0"/>
          <w:color w:val="auto"/>
          <w:kern w:val="0"/>
          <w:szCs w:val="24"/>
        </w:rPr>
        <w:fldChar w:fldCharType="separate"/>
      </w:r>
      <w:r>
        <w:rPr>
          <w:rFonts w:hint="eastAsia"/>
          <w:color w:val="auto"/>
        </w:rPr>
        <w:t>第五章 合同</w:t>
      </w:r>
      <w:r>
        <w:rPr>
          <w:color w:val="auto"/>
        </w:rPr>
        <w:t>模板</w:t>
      </w:r>
      <w:r>
        <w:rPr>
          <w:color w:val="auto"/>
        </w:rPr>
        <w:tab/>
      </w:r>
      <w:r>
        <w:rPr>
          <w:color w:val="auto"/>
        </w:rPr>
        <w:fldChar w:fldCharType="begin"/>
      </w:r>
      <w:r>
        <w:rPr>
          <w:color w:val="auto"/>
        </w:rPr>
        <w:instrText xml:space="preserve"> PAGEREF _Toc14879 \h </w:instrText>
      </w:r>
      <w:r>
        <w:rPr>
          <w:color w:val="auto"/>
        </w:rPr>
        <w:fldChar w:fldCharType="separate"/>
      </w:r>
      <w:r>
        <w:rPr>
          <w:color w:val="auto"/>
        </w:rPr>
        <w:t>28</w:t>
      </w:r>
      <w:r>
        <w:rPr>
          <w:color w:val="auto"/>
        </w:rPr>
        <w:fldChar w:fldCharType="end"/>
      </w:r>
      <w:r>
        <w:rPr>
          <w:rFonts w:ascii="宋体" w:hAnsi="宋体"/>
          <w:snapToGrid w:val="0"/>
          <w:color w:val="auto"/>
          <w:kern w:val="0"/>
          <w:szCs w:val="24"/>
        </w:rPr>
        <w:fldChar w:fldCharType="end"/>
      </w:r>
    </w:p>
    <w:p>
      <w:pPr>
        <w:pStyle w:val="14"/>
        <w:tabs>
          <w:tab w:val="right" w:leader="dot" w:pos="8306"/>
        </w:tabs>
        <w:rPr>
          <w:color w:val="auto"/>
        </w:rPr>
      </w:pPr>
      <w:r>
        <w:rPr>
          <w:rFonts w:ascii="宋体" w:hAnsi="宋体"/>
          <w:snapToGrid w:val="0"/>
          <w:color w:val="auto"/>
          <w:kern w:val="0"/>
          <w:szCs w:val="24"/>
        </w:rPr>
        <w:fldChar w:fldCharType="begin"/>
      </w:r>
      <w:r>
        <w:rPr>
          <w:rFonts w:ascii="宋体" w:hAnsi="宋体"/>
          <w:snapToGrid w:val="0"/>
          <w:color w:val="auto"/>
          <w:kern w:val="0"/>
          <w:szCs w:val="24"/>
        </w:rPr>
        <w:instrText xml:space="preserve"> HYPERLINK \l _Toc12860 </w:instrText>
      </w:r>
      <w:r>
        <w:rPr>
          <w:rFonts w:ascii="宋体" w:hAnsi="宋体"/>
          <w:snapToGrid w:val="0"/>
          <w:color w:val="auto"/>
          <w:kern w:val="0"/>
          <w:szCs w:val="24"/>
        </w:rPr>
        <w:fldChar w:fldCharType="separate"/>
      </w:r>
      <w:r>
        <w:rPr>
          <w:rFonts w:hint="eastAsia"/>
          <w:color w:val="auto"/>
        </w:rPr>
        <w:t>第六章 参选文件格式</w:t>
      </w:r>
      <w:r>
        <w:rPr>
          <w:color w:val="auto"/>
        </w:rPr>
        <w:tab/>
      </w:r>
      <w:r>
        <w:rPr>
          <w:color w:val="auto"/>
        </w:rPr>
        <w:fldChar w:fldCharType="begin"/>
      </w:r>
      <w:r>
        <w:rPr>
          <w:color w:val="auto"/>
        </w:rPr>
        <w:instrText xml:space="preserve"> PAGEREF _Toc12860 \h </w:instrText>
      </w:r>
      <w:r>
        <w:rPr>
          <w:color w:val="auto"/>
        </w:rPr>
        <w:fldChar w:fldCharType="separate"/>
      </w:r>
      <w:r>
        <w:rPr>
          <w:color w:val="auto"/>
        </w:rPr>
        <w:t>38</w:t>
      </w:r>
      <w:r>
        <w:rPr>
          <w:color w:val="auto"/>
        </w:rPr>
        <w:fldChar w:fldCharType="end"/>
      </w:r>
      <w:r>
        <w:rPr>
          <w:rFonts w:ascii="宋体" w:hAnsi="宋体"/>
          <w:snapToGrid w:val="0"/>
          <w:color w:val="auto"/>
          <w:kern w:val="0"/>
          <w:szCs w:val="24"/>
        </w:rPr>
        <w:fldChar w:fldCharType="end"/>
      </w:r>
    </w:p>
    <w:p>
      <w:pPr>
        <w:widowControl/>
        <w:ind w:firstLine="480"/>
        <w:jc w:val="left"/>
        <w:rPr>
          <w:rFonts w:ascii="宋体" w:hAnsi="宋体"/>
          <w:snapToGrid w:val="0"/>
          <w:color w:val="auto"/>
          <w:kern w:val="0"/>
          <w:szCs w:val="24"/>
        </w:rPr>
      </w:pPr>
      <w:r>
        <w:rPr>
          <w:rFonts w:ascii="宋体" w:hAnsi="宋体"/>
          <w:snapToGrid w:val="0"/>
          <w:color w:val="auto"/>
          <w:kern w:val="0"/>
          <w:szCs w:val="24"/>
        </w:rPr>
        <w:fldChar w:fldCharType="end"/>
      </w:r>
    </w:p>
    <w:p>
      <w:pPr>
        <w:widowControl/>
        <w:ind w:firstLine="480"/>
        <w:jc w:val="left"/>
        <w:rPr>
          <w:rFonts w:ascii="宋体" w:hAnsi="宋体"/>
          <w:snapToGrid w:val="0"/>
          <w:color w:val="auto"/>
          <w:kern w:val="0"/>
          <w:szCs w:val="24"/>
        </w:rPr>
        <w:sectPr>
          <w:pgSz w:w="11906" w:h="16838"/>
          <w:pgMar w:top="1440" w:right="1800" w:bottom="1440" w:left="1800" w:header="851" w:footer="992" w:gutter="0"/>
          <w:pgNumType w:start="1"/>
          <w:cols w:space="720" w:num="1"/>
          <w:docGrid w:type="lines" w:linePitch="312" w:charSpace="0"/>
        </w:sectPr>
      </w:pPr>
    </w:p>
    <w:p>
      <w:pPr>
        <w:pStyle w:val="3"/>
        <w:rPr>
          <w:color w:val="auto"/>
        </w:rPr>
      </w:pPr>
      <w:bookmarkStart w:id="0" w:name="_Toc440628903"/>
      <w:bookmarkStart w:id="1" w:name="_Toc28219"/>
      <w:bookmarkStart w:id="2" w:name="_Toc469574661"/>
      <w:bookmarkStart w:id="3" w:name="_Toc6745"/>
      <w:r>
        <w:rPr>
          <w:rFonts w:hint="eastAsia"/>
          <w:color w:val="auto"/>
        </w:rPr>
        <w:t>第一章</w:t>
      </w:r>
      <w:bookmarkEnd w:id="0"/>
      <w:r>
        <w:rPr>
          <w:rFonts w:hint="eastAsia"/>
          <w:color w:val="auto"/>
        </w:rPr>
        <w:t xml:space="preserve"> 比选公告</w:t>
      </w:r>
      <w:bookmarkEnd w:id="1"/>
      <w:bookmarkEnd w:id="2"/>
      <w:bookmarkEnd w:id="3"/>
    </w:p>
    <w:p>
      <w:pPr>
        <w:ind w:firstLine="480"/>
        <w:rPr>
          <w:color w:val="auto"/>
        </w:rPr>
      </w:pPr>
      <w:bookmarkStart w:id="4" w:name="_Toc55379218"/>
      <w:bookmarkStart w:id="5" w:name="_Toc89675127"/>
      <w:r>
        <w:rPr>
          <w:rFonts w:hint="eastAsia"/>
          <w:color w:val="auto"/>
        </w:rPr>
        <w:t>我行于2022年1月通过公开比选方式采购了4台成都数维通信技术有限公司网络分流（以下简称TAP）交换机。当前需进一步加强镜像流量数据采集的全面性和及时性，同步推进信创网络区域建设的流量镜像采集工作。为解决TAP交换机端口容量瓶颈，拟通过公开比选方式采购2台信创TAP交换机进行扩容。现对重庆三峡银行TAP交换机采购项目进行公开比选，</w:t>
      </w:r>
      <w:r>
        <w:rPr>
          <w:color w:val="auto"/>
        </w:rPr>
        <w:t>特邀请有</w:t>
      </w:r>
      <w:bookmarkStart w:id="6" w:name="_Hlk59455120"/>
      <w:r>
        <w:rPr>
          <w:color w:val="auto"/>
        </w:rPr>
        <w:t>意向</w:t>
      </w:r>
      <w:bookmarkEnd w:id="6"/>
      <w:r>
        <w:rPr>
          <w:color w:val="auto"/>
        </w:rPr>
        <w:t>的潜在</w:t>
      </w:r>
      <w:r>
        <w:rPr>
          <w:rFonts w:hint="eastAsia"/>
          <w:color w:val="auto"/>
        </w:rPr>
        <w:t>参选</w:t>
      </w:r>
      <w:r>
        <w:rPr>
          <w:color w:val="auto"/>
        </w:rPr>
        <w:t>人进行</w:t>
      </w:r>
      <w:r>
        <w:rPr>
          <w:rFonts w:hint="eastAsia"/>
          <w:color w:val="auto"/>
        </w:rPr>
        <w:t>参选</w:t>
      </w:r>
      <w:r>
        <w:rPr>
          <w:color w:val="auto"/>
        </w:rPr>
        <w:t>。</w:t>
      </w:r>
    </w:p>
    <w:p>
      <w:pPr>
        <w:pStyle w:val="4"/>
        <w:rPr>
          <w:color w:val="auto"/>
        </w:rPr>
      </w:pPr>
      <w:r>
        <w:rPr>
          <w:rFonts w:hint="eastAsia"/>
          <w:color w:val="auto"/>
        </w:rPr>
        <w:t>1. 比选项目内容</w:t>
      </w:r>
      <w:bookmarkEnd w:id="4"/>
      <w:bookmarkEnd w:id="5"/>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spacing w:line="360" w:lineRule="auto"/>
              <w:ind w:firstLine="0" w:firstLineChars="0"/>
              <w:jc w:val="center"/>
              <w:rPr>
                <w:rFonts w:ascii="宋体" w:hAnsi="宋体" w:cs="Cambria"/>
                <w:b/>
                <w:snapToGrid w:val="0"/>
                <w:color w:val="auto"/>
                <w:kern w:val="0"/>
                <w:sz w:val="21"/>
                <w:szCs w:val="21"/>
              </w:rPr>
            </w:pPr>
            <w:r>
              <w:rPr>
                <w:rFonts w:hint="eastAsia" w:ascii="宋体" w:hAnsi="宋体" w:cs="Cambria"/>
                <w:b/>
                <w:snapToGrid w:val="0"/>
                <w:color w:val="auto"/>
                <w:kern w:val="0"/>
                <w:sz w:val="21"/>
                <w:szCs w:val="21"/>
              </w:rPr>
              <w:t>序号</w:t>
            </w:r>
          </w:p>
        </w:tc>
        <w:tc>
          <w:tcPr>
            <w:tcW w:w="2826" w:type="dxa"/>
            <w:vAlign w:val="center"/>
          </w:tcPr>
          <w:p>
            <w:pPr>
              <w:spacing w:line="360" w:lineRule="auto"/>
              <w:ind w:firstLine="0" w:firstLineChars="0"/>
              <w:jc w:val="center"/>
              <w:rPr>
                <w:rFonts w:ascii="宋体" w:hAnsi="宋体" w:cs="Cambria"/>
                <w:b/>
                <w:snapToGrid w:val="0"/>
                <w:color w:val="auto"/>
                <w:kern w:val="0"/>
                <w:sz w:val="21"/>
                <w:szCs w:val="21"/>
              </w:rPr>
            </w:pPr>
            <w:r>
              <w:rPr>
                <w:rFonts w:hint="eastAsia" w:ascii="宋体" w:hAnsi="宋体" w:cs="Cambria"/>
                <w:b/>
                <w:snapToGrid w:val="0"/>
                <w:color w:val="auto"/>
                <w:kern w:val="0"/>
                <w:sz w:val="21"/>
                <w:szCs w:val="21"/>
              </w:rPr>
              <w:t>项目名称</w:t>
            </w:r>
          </w:p>
        </w:tc>
        <w:tc>
          <w:tcPr>
            <w:tcW w:w="1646" w:type="dxa"/>
            <w:vAlign w:val="center"/>
          </w:tcPr>
          <w:p>
            <w:pPr>
              <w:spacing w:line="360" w:lineRule="auto"/>
              <w:ind w:firstLine="0" w:firstLineChars="0"/>
              <w:jc w:val="center"/>
              <w:rPr>
                <w:rFonts w:ascii="宋体" w:hAnsi="宋体" w:cs="Cambria"/>
                <w:b/>
                <w:snapToGrid w:val="0"/>
                <w:color w:val="auto"/>
                <w:kern w:val="0"/>
                <w:sz w:val="21"/>
                <w:szCs w:val="21"/>
              </w:rPr>
            </w:pPr>
            <w:r>
              <w:rPr>
                <w:rFonts w:hint="eastAsia" w:ascii="宋体" w:hAnsi="宋体" w:cs="Cambria"/>
                <w:b/>
                <w:snapToGrid w:val="0"/>
                <w:color w:val="auto"/>
                <w:kern w:val="0"/>
                <w:sz w:val="21"/>
                <w:szCs w:val="21"/>
              </w:rPr>
              <w:t>最高限价</w:t>
            </w:r>
          </w:p>
          <w:p>
            <w:pPr>
              <w:spacing w:line="360" w:lineRule="auto"/>
              <w:ind w:firstLine="0" w:firstLineChars="0"/>
              <w:jc w:val="center"/>
              <w:rPr>
                <w:rFonts w:ascii="宋体" w:hAnsi="宋体" w:cs="Cambria"/>
                <w:b/>
                <w:snapToGrid w:val="0"/>
                <w:color w:val="auto"/>
                <w:kern w:val="0"/>
                <w:sz w:val="21"/>
                <w:szCs w:val="21"/>
              </w:rPr>
            </w:pPr>
            <w:r>
              <w:rPr>
                <w:rFonts w:hint="eastAsia" w:ascii="宋体" w:hAnsi="宋体" w:cs="Cambria"/>
                <w:b/>
                <w:snapToGrid w:val="0"/>
                <w:color w:val="auto"/>
                <w:kern w:val="0"/>
                <w:sz w:val="21"/>
                <w:szCs w:val="21"/>
              </w:rPr>
              <w:t>（元）</w:t>
            </w:r>
          </w:p>
        </w:tc>
        <w:tc>
          <w:tcPr>
            <w:tcW w:w="1798" w:type="dxa"/>
            <w:vAlign w:val="center"/>
          </w:tcPr>
          <w:p>
            <w:pPr>
              <w:spacing w:line="360" w:lineRule="auto"/>
              <w:ind w:firstLine="0" w:firstLineChars="0"/>
              <w:jc w:val="center"/>
              <w:rPr>
                <w:rFonts w:ascii="宋体" w:hAnsi="宋体" w:cs="Cambria"/>
                <w:b/>
                <w:snapToGrid w:val="0"/>
                <w:color w:val="auto"/>
                <w:kern w:val="0"/>
                <w:sz w:val="21"/>
                <w:szCs w:val="21"/>
              </w:rPr>
            </w:pPr>
            <w:r>
              <w:rPr>
                <w:rFonts w:hint="eastAsia" w:ascii="宋体" w:hAnsi="宋体" w:cs="Cambria"/>
                <w:b/>
                <w:snapToGrid w:val="0"/>
                <w:color w:val="auto"/>
                <w:kern w:val="0"/>
                <w:sz w:val="21"/>
                <w:szCs w:val="21"/>
              </w:rPr>
              <w:t>中选人数量</w:t>
            </w:r>
          </w:p>
        </w:tc>
        <w:tc>
          <w:tcPr>
            <w:tcW w:w="1798" w:type="dxa"/>
            <w:vAlign w:val="center"/>
          </w:tcPr>
          <w:p>
            <w:pPr>
              <w:spacing w:line="360" w:lineRule="auto"/>
              <w:ind w:firstLine="0" w:firstLineChars="0"/>
              <w:jc w:val="center"/>
              <w:rPr>
                <w:rFonts w:ascii="宋体" w:hAnsi="宋体" w:cs="Cambria"/>
                <w:b/>
                <w:snapToGrid w:val="0"/>
                <w:color w:val="auto"/>
                <w:kern w:val="0"/>
                <w:sz w:val="21"/>
                <w:szCs w:val="21"/>
              </w:rPr>
            </w:pPr>
            <w:r>
              <w:rPr>
                <w:rFonts w:hint="eastAsia" w:ascii="宋体" w:hAnsi="宋体" w:cs="Cambria"/>
                <w:b/>
                <w:snapToGrid w:val="0"/>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spacing w:line="360" w:lineRule="auto"/>
              <w:ind w:firstLine="0" w:firstLineChars="0"/>
              <w:jc w:val="center"/>
              <w:rPr>
                <w:rFonts w:ascii="宋体" w:hAnsi="宋体" w:cs="Cambria"/>
                <w:snapToGrid w:val="0"/>
                <w:color w:val="auto"/>
                <w:kern w:val="0"/>
                <w:sz w:val="21"/>
                <w:szCs w:val="21"/>
              </w:rPr>
            </w:pPr>
            <w:r>
              <w:rPr>
                <w:rFonts w:hint="eastAsia" w:ascii="宋体" w:hAnsi="宋体" w:cs="Cambria"/>
                <w:snapToGrid w:val="0"/>
                <w:color w:val="auto"/>
                <w:kern w:val="0"/>
                <w:sz w:val="21"/>
                <w:szCs w:val="21"/>
              </w:rPr>
              <w:t>1</w:t>
            </w:r>
          </w:p>
        </w:tc>
        <w:tc>
          <w:tcPr>
            <w:tcW w:w="2826" w:type="dxa"/>
            <w:vAlign w:val="center"/>
          </w:tcPr>
          <w:p>
            <w:pPr>
              <w:spacing w:line="360" w:lineRule="auto"/>
              <w:ind w:firstLine="0" w:firstLineChars="0"/>
              <w:jc w:val="center"/>
              <w:rPr>
                <w:rFonts w:ascii="宋体" w:hAnsi="宋体" w:cs="Cambria"/>
                <w:snapToGrid w:val="0"/>
                <w:color w:val="auto"/>
                <w:kern w:val="0"/>
                <w:sz w:val="21"/>
                <w:szCs w:val="21"/>
              </w:rPr>
            </w:pPr>
            <w:r>
              <w:rPr>
                <w:rFonts w:hint="eastAsia" w:ascii="宋体" w:hAnsi="宋体" w:cs="Cambria"/>
                <w:snapToGrid w:val="0"/>
                <w:color w:val="auto"/>
                <w:kern w:val="0"/>
                <w:sz w:val="21"/>
                <w:szCs w:val="21"/>
              </w:rPr>
              <w:t>重庆三峡银行TAP交换机采购项目</w:t>
            </w:r>
          </w:p>
        </w:tc>
        <w:tc>
          <w:tcPr>
            <w:tcW w:w="1646" w:type="dxa"/>
            <w:vAlign w:val="center"/>
          </w:tcPr>
          <w:p>
            <w:pPr>
              <w:spacing w:line="360" w:lineRule="auto"/>
              <w:ind w:firstLine="0" w:firstLineChars="0"/>
              <w:jc w:val="center"/>
              <w:rPr>
                <w:rFonts w:ascii="宋体" w:hAnsi="宋体" w:cs="Cambria"/>
                <w:snapToGrid w:val="0"/>
                <w:color w:val="auto"/>
                <w:kern w:val="0"/>
                <w:sz w:val="21"/>
                <w:szCs w:val="21"/>
              </w:rPr>
            </w:pPr>
            <w:r>
              <w:rPr>
                <w:rFonts w:hint="eastAsia" w:ascii="宋体" w:hAnsi="宋体" w:cs="Cambria"/>
                <w:snapToGrid w:val="0"/>
                <w:color w:val="auto"/>
                <w:kern w:val="0"/>
                <w:sz w:val="21"/>
                <w:szCs w:val="21"/>
              </w:rPr>
              <w:t>444000.00元</w:t>
            </w:r>
          </w:p>
        </w:tc>
        <w:tc>
          <w:tcPr>
            <w:tcW w:w="1798" w:type="dxa"/>
            <w:vAlign w:val="center"/>
          </w:tcPr>
          <w:p>
            <w:pPr>
              <w:spacing w:line="360" w:lineRule="auto"/>
              <w:ind w:firstLine="0" w:firstLineChars="0"/>
              <w:jc w:val="center"/>
              <w:rPr>
                <w:rFonts w:ascii="宋体" w:hAnsi="宋体" w:cs="Cambria"/>
                <w:snapToGrid w:val="0"/>
                <w:color w:val="auto"/>
                <w:kern w:val="0"/>
                <w:sz w:val="21"/>
                <w:szCs w:val="21"/>
              </w:rPr>
            </w:pPr>
            <w:r>
              <w:rPr>
                <w:rFonts w:hint="eastAsia" w:ascii="宋体" w:hAnsi="宋体" w:cs="Cambria"/>
                <w:snapToGrid w:val="0"/>
                <w:color w:val="auto"/>
                <w:kern w:val="0"/>
                <w:sz w:val="21"/>
                <w:szCs w:val="21"/>
              </w:rPr>
              <w:t>1</w:t>
            </w:r>
          </w:p>
        </w:tc>
        <w:tc>
          <w:tcPr>
            <w:tcW w:w="1798" w:type="dxa"/>
            <w:vAlign w:val="center"/>
          </w:tcPr>
          <w:p>
            <w:pPr>
              <w:spacing w:line="360" w:lineRule="auto"/>
              <w:ind w:firstLine="0" w:firstLineChars="0"/>
              <w:jc w:val="center"/>
              <w:rPr>
                <w:rFonts w:ascii="宋体" w:hAnsi="宋体" w:cs="Cambria"/>
                <w:snapToGrid w:val="0"/>
                <w:color w:val="auto"/>
                <w:kern w:val="0"/>
                <w:sz w:val="21"/>
                <w:szCs w:val="21"/>
              </w:rPr>
            </w:pPr>
            <w:r>
              <w:rPr>
                <w:rFonts w:hint="eastAsia" w:ascii="宋体" w:hAnsi="宋体" w:cs="Cambria"/>
                <w:snapToGrid w:val="0"/>
                <w:color w:val="auto"/>
                <w:kern w:val="0"/>
                <w:sz w:val="21"/>
                <w:szCs w:val="21"/>
              </w:rPr>
              <w:t>采购数量：2台，需按要求完成新采购设备的安装和部署工作。</w:t>
            </w:r>
          </w:p>
        </w:tc>
      </w:tr>
    </w:tbl>
    <w:p>
      <w:pPr>
        <w:pStyle w:val="4"/>
        <w:rPr>
          <w:color w:val="auto"/>
        </w:rPr>
      </w:pPr>
      <w:bookmarkStart w:id="7" w:name="_Toc89675128"/>
      <w:bookmarkStart w:id="8" w:name="_Toc297817088"/>
      <w:bookmarkStart w:id="9" w:name="_Toc288224935"/>
      <w:bookmarkStart w:id="10" w:name="_Toc55379219"/>
      <w:bookmarkStart w:id="11" w:name="_Toc469574664"/>
      <w:r>
        <w:rPr>
          <w:rFonts w:hint="eastAsia"/>
          <w:color w:val="auto"/>
        </w:rPr>
        <w:t>2. 参选人资格要求</w:t>
      </w:r>
      <w:bookmarkEnd w:id="7"/>
      <w:bookmarkEnd w:id="8"/>
      <w:bookmarkEnd w:id="9"/>
      <w:bookmarkEnd w:id="10"/>
      <w:bookmarkEnd w:id="11"/>
    </w:p>
    <w:p>
      <w:pPr>
        <w:ind w:firstLine="480"/>
        <w:rPr>
          <w:color w:val="auto"/>
        </w:rPr>
      </w:pPr>
      <w:bookmarkStart w:id="12" w:name="_Hlk55488870"/>
      <w:r>
        <w:rPr>
          <w:rFonts w:hint="eastAsia"/>
          <w:color w:val="auto"/>
        </w:rPr>
        <w:t>2.1 参选人应当具备承担比选项目的能力</w:t>
      </w:r>
    </w:p>
    <w:p>
      <w:pPr>
        <w:ind w:firstLine="480"/>
        <w:rPr>
          <w:color w:val="auto"/>
        </w:rPr>
      </w:pPr>
      <w:r>
        <w:rPr>
          <w:rFonts w:hint="eastAsia"/>
          <w:color w:val="auto"/>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pPr>
        <w:ind w:firstLine="480"/>
        <w:rPr>
          <w:color w:val="auto"/>
        </w:rPr>
      </w:pPr>
      <w:r>
        <w:rPr>
          <w:rFonts w:hint="eastAsia"/>
          <w:color w:val="auto"/>
        </w:rPr>
        <w:t>注：若为法定代表人（分支机构负责人）办理并签署参选文件的，不提供授权代表委托书。</w:t>
      </w:r>
    </w:p>
    <w:p>
      <w:pPr>
        <w:ind w:firstLine="480"/>
        <w:rPr>
          <w:color w:val="auto"/>
          <w:highlight w:val="none"/>
        </w:rPr>
      </w:pPr>
      <w:r>
        <w:rPr>
          <w:rFonts w:hint="eastAsia"/>
          <w:color w:val="auto"/>
          <w:highlight w:val="none"/>
        </w:rPr>
        <w:t>2.2 具有良好的商业信誉和健全的财务会计制度【提供书面声明】；</w:t>
      </w:r>
    </w:p>
    <w:p>
      <w:pPr>
        <w:ind w:firstLine="480"/>
        <w:rPr>
          <w:color w:val="auto"/>
          <w:highlight w:val="none"/>
        </w:rPr>
      </w:pPr>
      <w:r>
        <w:rPr>
          <w:rFonts w:hint="eastAsia"/>
          <w:color w:val="auto"/>
          <w:highlight w:val="none"/>
        </w:rPr>
        <w:t>2.3 具有履行合同所必需的设备和专业技术能力【提供书面声明】；</w:t>
      </w:r>
    </w:p>
    <w:p>
      <w:pPr>
        <w:ind w:firstLine="480"/>
        <w:rPr>
          <w:color w:val="auto"/>
          <w:highlight w:val="none"/>
        </w:rPr>
      </w:pPr>
      <w:r>
        <w:rPr>
          <w:rFonts w:hint="eastAsia"/>
          <w:color w:val="auto"/>
          <w:highlight w:val="none"/>
        </w:rPr>
        <w:t>2.4 有依法缴纳税收和社会保障金的良好记录【提供书面声明】；</w:t>
      </w:r>
    </w:p>
    <w:p>
      <w:pPr>
        <w:ind w:firstLine="480"/>
        <w:rPr>
          <w:color w:val="auto"/>
          <w:highlight w:val="none"/>
        </w:rPr>
      </w:pPr>
      <w:r>
        <w:rPr>
          <w:rFonts w:hint="eastAsia"/>
          <w:color w:val="auto"/>
          <w:highlight w:val="none"/>
        </w:rPr>
        <w:t>2.5 三年内在经营活动中没有重大违法记录【提供书面声明】；</w:t>
      </w:r>
    </w:p>
    <w:p>
      <w:pPr>
        <w:ind w:firstLine="480"/>
        <w:rPr>
          <w:color w:val="auto"/>
          <w:highlight w:val="none"/>
        </w:rPr>
      </w:pPr>
      <w:r>
        <w:rPr>
          <w:rFonts w:hint="eastAsia"/>
          <w:color w:val="auto"/>
          <w:highlight w:val="none"/>
        </w:rPr>
        <w:t>2.6 法人及法定代表人没有被人民法院列为失信被执行人名单【提供中国执行信息公开网截图并加盖单位鲜章】；</w:t>
      </w:r>
    </w:p>
    <w:p>
      <w:pPr>
        <w:ind w:firstLine="480"/>
        <w:rPr>
          <w:color w:val="auto"/>
          <w:highlight w:val="none"/>
        </w:rPr>
      </w:pPr>
      <w:r>
        <w:rPr>
          <w:rFonts w:hint="eastAsia"/>
          <w:color w:val="auto"/>
          <w:highlight w:val="none"/>
        </w:rPr>
        <w:t>2.7 本项目不允许任何形式的转包【提供书面声明】。</w:t>
      </w:r>
    </w:p>
    <w:p>
      <w:pPr>
        <w:ind w:firstLine="480"/>
        <w:rPr>
          <w:color w:val="auto"/>
        </w:rPr>
      </w:pPr>
      <w:r>
        <w:rPr>
          <w:rFonts w:hint="eastAsia"/>
          <w:color w:val="auto"/>
        </w:rPr>
        <w:t>2.8 ☑本次招标不接受联合体参选。</w:t>
      </w:r>
    </w:p>
    <w:p>
      <w:pPr>
        <w:ind w:firstLine="480"/>
        <w:rPr>
          <w:rFonts w:hint="eastAsia"/>
          <w:color w:val="auto"/>
        </w:rPr>
      </w:pPr>
      <w:r>
        <w:rPr>
          <w:rFonts w:hint="eastAsia"/>
          <w:color w:val="auto"/>
        </w:rPr>
        <w:t>2.9. 参选人为厂商直投或其合法代理商</w:t>
      </w:r>
    </w:p>
    <w:p>
      <w:pPr>
        <w:ind w:firstLine="480"/>
        <w:rPr>
          <w:color w:val="auto"/>
        </w:rPr>
      </w:pPr>
      <w:r>
        <w:rPr>
          <w:rFonts w:hint="eastAsia"/>
          <w:color w:val="auto"/>
        </w:rPr>
        <w:t>注：</w:t>
      </w:r>
    </w:p>
    <w:p>
      <w:pPr>
        <w:ind w:firstLine="480"/>
        <w:rPr>
          <w:color w:val="auto"/>
        </w:rPr>
      </w:pPr>
      <w:r>
        <w:rPr>
          <w:rFonts w:hint="eastAsia"/>
          <w:color w:val="auto"/>
        </w:rPr>
        <w:t>（1）若为厂商直接参与比选【提供：原厂售后服务承诺函（包括原厂维保时间及售后服务等级）原件】</w:t>
      </w:r>
    </w:p>
    <w:p>
      <w:pPr>
        <w:ind w:firstLine="480"/>
        <w:rPr>
          <w:color w:val="auto"/>
        </w:rPr>
      </w:pPr>
      <w:r>
        <w:rPr>
          <w:rFonts w:hint="eastAsia"/>
          <w:color w:val="auto"/>
        </w:rPr>
        <w:t>（2）若为代理商参与比选【提供：1. 比选产品原厂对本项目出具的参选授权函原件；2. 售后服务承诺函（包括原厂维保时间及售后服务等级）原件。】</w:t>
      </w:r>
    </w:p>
    <w:p>
      <w:pPr>
        <w:ind w:firstLine="480"/>
        <w:rPr>
          <w:color w:val="auto"/>
        </w:rPr>
      </w:pPr>
      <w:r>
        <w:rPr>
          <w:rFonts w:hint="eastAsia"/>
          <w:color w:val="auto"/>
        </w:rPr>
        <w:t>注：一个原厂对同一品牌同一型号的产品，仅能委托一个代理商参与本项目</w:t>
      </w:r>
      <w:r>
        <w:rPr>
          <w:rFonts w:hint="eastAsia"/>
          <w:color w:val="auto"/>
          <w:lang w:eastAsia="zh-CN"/>
        </w:rPr>
        <w:t>；</w:t>
      </w:r>
      <w:r>
        <w:rPr>
          <w:rFonts w:hint="eastAsia"/>
          <w:color w:val="auto"/>
        </w:rPr>
        <w:t>原厂售后服务承诺函要求详见比选文件第三章。</w:t>
      </w:r>
    </w:p>
    <w:p>
      <w:pPr>
        <w:ind w:firstLine="480"/>
        <w:rPr>
          <w:color w:val="auto"/>
        </w:rPr>
      </w:pPr>
      <w:r>
        <w:rPr>
          <w:rFonts w:hint="eastAsia"/>
          <w:color w:val="auto"/>
        </w:rPr>
        <w:t>2.10 2020年1月1日至参选截止日止（以合同签订日为准），参选人参选品牌用于银行的客户案例至少有三个。</w:t>
      </w:r>
      <w:r>
        <w:rPr>
          <w:color w:val="auto"/>
        </w:rPr>
        <w:t>同一家银行不同分行案例算一个。</w:t>
      </w:r>
    </w:p>
    <w:p>
      <w:pPr>
        <w:ind w:firstLine="480"/>
        <w:rPr>
          <w:color w:val="auto"/>
        </w:rPr>
      </w:pPr>
      <w:r>
        <w:rPr>
          <w:rFonts w:hint="eastAsia"/>
          <w:color w:val="auto"/>
        </w:rPr>
        <w:t>【提供：</w:t>
      </w:r>
      <w:r>
        <w:rPr>
          <w:rFonts w:hint="eastAsia"/>
          <w:color w:val="auto"/>
          <w:lang w:val="en-US" w:eastAsia="zh-CN"/>
        </w:rPr>
        <w:t xml:space="preserve">1. </w:t>
      </w:r>
      <w:r>
        <w:rPr>
          <w:rFonts w:hint="eastAsia"/>
          <w:color w:val="auto"/>
        </w:rPr>
        <w:t>2020年1月1日至参选截止日止（以合同签订日为准），参选人参选品牌用于银行的客户案例，至少三个，包含甲乙双方名称、双方印章、项目/产品的名称、合同、签订时间等信息</w:t>
      </w:r>
      <w:r>
        <w:rPr>
          <w:rFonts w:hint="eastAsia"/>
          <w:color w:val="auto"/>
          <w:lang w:eastAsia="zh-CN"/>
        </w:rPr>
        <w:t>；</w:t>
      </w:r>
      <w:r>
        <w:rPr>
          <w:rFonts w:hint="eastAsia"/>
          <w:color w:val="auto"/>
          <w:lang w:val="en-US" w:eastAsia="zh-CN"/>
        </w:rPr>
        <w:t xml:space="preserve">2. </w:t>
      </w:r>
      <w:r>
        <w:rPr>
          <w:rFonts w:hint="eastAsia"/>
          <w:color w:val="auto"/>
        </w:rPr>
        <w:t>订单复印件加盖参选人公章】</w:t>
      </w:r>
    </w:p>
    <w:p>
      <w:pPr>
        <w:ind w:firstLine="480"/>
        <w:rPr>
          <w:color w:val="auto"/>
        </w:rPr>
      </w:pPr>
      <w:r>
        <w:rPr>
          <w:color w:val="auto"/>
        </w:rPr>
        <w:t>注: 案例要求以下信息不可隐藏，包含：甲乙双方名称、双方印章、项目/产品的名称、合同</w:t>
      </w:r>
      <w:r>
        <w:rPr>
          <w:rFonts w:hint="eastAsia"/>
          <w:color w:val="auto"/>
        </w:rPr>
        <w:t>、</w:t>
      </w:r>
      <w:r>
        <w:rPr>
          <w:color w:val="auto"/>
        </w:rPr>
        <w:t>签订时间等。同一家银行不同分行案例算一个。以上证明文件若</w:t>
      </w:r>
      <w:r>
        <w:rPr>
          <w:rFonts w:hint="eastAsia"/>
          <w:color w:val="auto"/>
        </w:rPr>
        <w:t>比选人</w:t>
      </w:r>
      <w:r>
        <w:rPr>
          <w:color w:val="auto"/>
        </w:rPr>
        <w:t>存疑，参选人需提供原件备查,参选文件中须附相关证明文件复印件并逐页加盖公章。</w:t>
      </w:r>
    </w:p>
    <w:p>
      <w:pPr>
        <w:ind w:firstLine="480"/>
        <w:rPr>
          <w:color w:val="auto"/>
        </w:rPr>
      </w:pPr>
      <w:r>
        <w:rPr>
          <w:rFonts w:hint="eastAsia"/>
          <w:color w:val="auto"/>
        </w:rPr>
        <w:t>2.11 参选人参选品牌型号主要芯片（CPU和转发芯片）需满足信创需求，需提供芯片厂商、规格型号、图片的详细说明，</w:t>
      </w:r>
      <w:r>
        <w:rPr>
          <w:color w:val="auto"/>
        </w:rPr>
        <w:t>出具</w:t>
      </w:r>
      <w:r>
        <w:rPr>
          <w:rFonts w:hint="eastAsia"/>
          <w:color w:val="auto"/>
        </w:rPr>
        <w:t>芯片的检测报告复印件加盖制造商公章。操作系统为国产操作系统，并提供操作系统的第三方检测机构报告。</w:t>
      </w:r>
    </w:p>
    <w:p>
      <w:pPr>
        <w:ind w:firstLine="480"/>
        <w:rPr>
          <w:color w:val="auto"/>
        </w:rPr>
      </w:pPr>
      <w:r>
        <w:rPr>
          <w:rFonts w:hint="eastAsia"/>
          <w:color w:val="auto"/>
        </w:rPr>
        <w:t>【提供：1. 芯片厂商、规格型号、图片的详细说明；2. 芯片的检测报告复印件加盖制造商公章；3. 操作系统的第三方检测机构报告。】</w:t>
      </w:r>
    </w:p>
    <w:p>
      <w:pPr>
        <w:ind w:firstLine="480"/>
        <w:rPr>
          <w:color w:val="auto"/>
          <w:highlight w:val="none"/>
        </w:rPr>
      </w:pPr>
      <w:r>
        <w:rPr>
          <w:rFonts w:hint="eastAsia"/>
          <w:color w:val="auto"/>
          <w:highlight w:val="none"/>
        </w:rPr>
        <w:t>注:以上证明文件若比选人存疑，参选人需提供原件备查，参选文件中须附相关证明文件复印件并逐页加盖公章。</w:t>
      </w:r>
    </w:p>
    <w:p>
      <w:pPr>
        <w:ind w:firstLine="480"/>
        <w:rPr>
          <w:color w:val="auto"/>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rPr>
        <w:t>截止</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rPr>
        <w:t>下列清单</w:t>
      </w:r>
      <w:r>
        <w:rPr>
          <w:rFonts w:hint="eastAsia"/>
          <w:color w:val="auto"/>
        </w:rPr>
        <w:t>。</w:t>
      </w:r>
    </w:p>
    <w:tbl>
      <w:tblPr>
        <w:tblStyle w:val="19"/>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pPr>
              <w:spacing w:line="360" w:lineRule="auto"/>
              <w:ind w:firstLine="0" w:firstLineChars="0"/>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4933" w:type="dxa"/>
          </w:tcPr>
          <w:p>
            <w:pPr>
              <w:spacing w:line="360" w:lineRule="auto"/>
              <w:ind w:firstLine="0" w:firstLineChars="0"/>
              <w:jc w:val="center"/>
              <w:rPr>
                <w:rFonts w:ascii="宋体" w:hAnsi="宋体" w:cs="宋体"/>
                <w:b/>
                <w:bCs/>
                <w:color w:val="auto"/>
                <w:sz w:val="21"/>
                <w:szCs w:val="21"/>
              </w:rPr>
            </w:pPr>
            <w:r>
              <w:rPr>
                <w:rFonts w:hint="eastAsia" w:ascii="宋体" w:hAnsi="宋体" w:cs="宋体"/>
                <w:b/>
                <w:bCs/>
                <w:color w:val="auto"/>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1</w:t>
            </w:r>
          </w:p>
        </w:tc>
        <w:tc>
          <w:tcPr>
            <w:tcW w:w="4933" w:type="dxa"/>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依米康软件技术（深圳）有限责任公司</w:t>
            </w:r>
          </w:p>
        </w:tc>
      </w:tr>
    </w:tbl>
    <w:p>
      <w:pPr>
        <w:ind w:firstLine="480"/>
        <w:rPr>
          <w:color w:val="auto"/>
        </w:rPr>
      </w:pPr>
    </w:p>
    <w:bookmarkEnd w:id="12"/>
    <w:p>
      <w:pPr>
        <w:pStyle w:val="4"/>
        <w:rPr>
          <w:color w:val="auto"/>
        </w:rPr>
      </w:pPr>
      <w:bookmarkStart w:id="13" w:name="_Toc55379220"/>
      <w:bookmarkStart w:id="14" w:name="_Toc297817090"/>
      <w:bookmarkStart w:id="15" w:name="_Toc469574667"/>
      <w:bookmarkStart w:id="16" w:name="_Toc89675130"/>
      <w:r>
        <w:rPr>
          <w:rFonts w:hint="eastAsia"/>
          <w:color w:val="auto"/>
        </w:rPr>
        <w:t>3. 比选文件的获取</w:t>
      </w:r>
      <w:bookmarkEnd w:id="13"/>
    </w:p>
    <w:p>
      <w:pPr>
        <w:ind w:firstLine="480"/>
        <w:rPr>
          <w:color w:val="auto"/>
          <w:highlight w:val="none"/>
        </w:rPr>
      </w:pPr>
      <w:bookmarkStart w:id="17" w:name="_Toc55379221"/>
      <w:r>
        <w:rPr>
          <w:rFonts w:hint="eastAsia"/>
          <w:color w:val="auto"/>
          <w:highlight w:val="none"/>
        </w:rPr>
        <w:t>3.1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19</w:t>
      </w:r>
      <w:r>
        <w:rPr>
          <w:rFonts w:hint="eastAsia"/>
          <w:color w:val="auto"/>
          <w:highlight w:val="none"/>
        </w:rPr>
        <w:t>日到</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7</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分（北京时间），在重庆市公共资源交易网（www.cqggzy.com）下载比选文件。</w:t>
      </w:r>
    </w:p>
    <w:p>
      <w:pPr>
        <w:ind w:firstLine="480"/>
        <w:rPr>
          <w:color w:val="auto"/>
          <w:highlight w:val="none"/>
        </w:rPr>
      </w:pPr>
      <w:r>
        <w:rPr>
          <w:rFonts w:hint="eastAsia"/>
          <w:color w:val="auto"/>
          <w:highlight w:val="none"/>
        </w:rPr>
        <w:t>3.2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pPr>
        <w:ind w:firstLine="480"/>
        <w:rPr>
          <w:color w:val="auto"/>
          <w:highlight w:val="none"/>
        </w:rPr>
      </w:pPr>
      <w:r>
        <w:rPr>
          <w:rFonts w:hint="eastAsia"/>
          <w:color w:val="auto"/>
          <w:highlight w:val="none"/>
        </w:rPr>
        <w:t>3.3 比选人在认为有必要对参选人所提问题进行答复或对比选文件进行补充时，将于</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4"/>
        <w:rPr>
          <w:color w:val="auto"/>
        </w:rPr>
      </w:pPr>
      <w:r>
        <w:rPr>
          <w:rFonts w:hint="eastAsia"/>
          <w:color w:val="auto"/>
        </w:rPr>
        <w:t>4. 参选保证金的递交</w:t>
      </w:r>
      <w:bookmarkEnd w:id="14"/>
      <w:bookmarkEnd w:id="15"/>
      <w:bookmarkEnd w:id="16"/>
      <w:bookmarkEnd w:id="17"/>
    </w:p>
    <w:p>
      <w:pPr>
        <w:ind w:firstLine="480"/>
        <w:rPr>
          <w:color w:val="auto"/>
          <w:highlight w:val="none"/>
        </w:rPr>
      </w:pPr>
      <w:bookmarkStart w:id="18" w:name="_Toc89675131"/>
      <w:bookmarkStart w:id="19" w:name="_Toc469574668"/>
      <w:bookmarkStart w:id="20" w:name="_Toc297817091"/>
      <w:bookmarkStart w:id="21" w:name="_Toc55379222"/>
      <w:r>
        <w:rPr>
          <w:rFonts w:hint="eastAsia"/>
          <w:color w:val="auto"/>
          <w:highlight w:val="none"/>
        </w:rPr>
        <w:t>4.1 参选保证金的金额：8,880元整（大写：捌仟捌佰捌拾元整）。</w:t>
      </w:r>
    </w:p>
    <w:p>
      <w:pPr>
        <w:ind w:firstLine="480"/>
        <w:rPr>
          <w:color w:val="auto"/>
          <w:highlight w:val="none"/>
        </w:rPr>
      </w:pPr>
      <w:r>
        <w:rPr>
          <w:rFonts w:hint="eastAsia"/>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pPr>
        <w:ind w:firstLine="482"/>
        <w:rPr>
          <w:color w:val="auto"/>
        </w:rPr>
      </w:pPr>
      <w:r>
        <w:rPr>
          <w:rFonts w:hint="eastAsia"/>
          <w:b/>
          <w:bCs/>
          <w:color w:val="auto"/>
          <w:highlight w:val="none"/>
        </w:rPr>
        <w:t>参选人必须在付款凭证备注栏中注明项目简称。可简写成：</w:t>
      </w:r>
      <w:r>
        <w:rPr>
          <w:rFonts w:hint="eastAsia"/>
          <w:b/>
          <w:bCs/>
          <w:color w:val="auto"/>
          <w:u w:val="single"/>
        </w:rPr>
        <w:t xml:space="preserve"> TAP交换机采购项目 </w:t>
      </w:r>
      <w:r>
        <w:rPr>
          <w:rFonts w:hint="eastAsia"/>
          <w:b/>
          <w:bCs/>
          <w:color w:val="auto"/>
        </w:rPr>
        <w:t>项目。</w:t>
      </w:r>
    </w:p>
    <w:p>
      <w:pPr>
        <w:ind w:firstLine="480"/>
        <w:rPr>
          <w:color w:val="auto"/>
          <w:highlight w:val="none"/>
        </w:rPr>
      </w:pPr>
      <w:r>
        <w:rPr>
          <w:rFonts w:hint="eastAsia"/>
          <w:color w:val="auto"/>
          <w:highlight w:val="none"/>
        </w:rPr>
        <w:t>4.3 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7</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pPr>
        <w:ind w:firstLine="480"/>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参选保证金专用账户如下：</w:t>
      </w:r>
    </w:p>
    <w:p>
      <w:pPr>
        <w:ind w:firstLine="480"/>
        <w:rPr>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pPr>
        <w:ind w:firstLine="480"/>
        <w:rPr>
          <w:color w:val="auto"/>
          <w:highlight w:val="none"/>
        </w:rPr>
      </w:pPr>
      <w:r>
        <w:rPr>
          <w:rFonts w:hint="eastAsia"/>
          <w:color w:val="auto"/>
          <w:highlight w:val="none"/>
        </w:rPr>
        <w:t>参选保证金以重庆市公共资源交易中心比选现场展示的保证金交纳情况为准。</w:t>
      </w:r>
    </w:p>
    <w:bookmarkEnd w:id="18"/>
    <w:bookmarkEnd w:id="19"/>
    <w:bookmarkEnd w:id="20"/>
    <w:bookmarkEnd w:id="21"/>
    <w:p>
      <w:pPr>
        <w:pStyle w:val="4"/>
        <w:rPr>
          <w:color w:val="auto"/>
          <w:highlight w:val="none"/>
        </w:rPr>
      </w:pPr>
      <w:r>
        <w:rPr>
          <w:rFonts w:hint="eastAsia"/>
          <w:color w:val="auto"/>
          <w:highlight w:val="none"/>
        </w:rPr>
        <w:t>5. 参选文件的递交</w:t>
      </w:r>
    </w:p>
    <w:p>
      <w:pPr>
        <w:ind w:firstLine="480"/>
        <w:rPr>
          <w:color w:val="auto"/>
          <w:highlight w:val="none"/>
        </w:rPr>
      </w:pPr>
      <w:bookmarkStart w:id="22" w:name="_Toc55379223"/>
      <w:bookmarkStart w:id="23" w:name="_Toc89675132"/>
      <w:bookmarkStart w:id="24" w:name="_Toc469574669"/>
      <w:r>
        <w:rPr>
          <w:rFonts w:hint="eastAsia"/>
          <w:color w:val="auto"/>
          <w:highlight w:val="none"/>
        </w:rPr>
        <w:t>5.1 参选文件现场递交的开始时间为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7</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分(北京时间)。递交截止时间为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4</w:t>
      </w:r>
      <w:r>
        <w:rPr>
          <w:rFonts w:hint="eastAsia"/>
          <w:color w:val="auto"/>
          <w:highlight w:val="none"/>
        </w:rPr>
        <w:t>月</w:t>
      </w:r>
      <w:r>
        <w:rPr>
          <w:rFonts w:hint="eastAsia"/>
          <w:color w:val="auto"/>
          <w:highlight w:val="none"/>
          <w:u w:val="single"/>
          <w:lang w:val="en-US" w:eastAsia="zh-CN"/>
        </w:rPr>
        <w:t>7</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pPr>
        <w:ind w:firstLine="480"/>
        <w:rPr>
          <w:color w:val="auto"/>
          <w:highlight w:val="none"/>
        </w:rPr>
      </w:pPr>
      <w:r>
        <w:rPr>
          <w:rFonts w:hint="eastAsia"/>
          <w:color w:val="auto"/>
          <w:highlight w:val="none"/>
        </w:rPr>
        <w:t>5.2 递交地点为重庆市公共资源交易中心开标区（具体请登陆重庆市公共资源交易网（www.cqggzy.com）查询或递交文件当日见交易中心大厅电子显示屏）。</w:t>
      </w:r>
    </w:p>
    <w:p>
      <w:pPr>
        <w:ind w:firstLine="480"/>
        <w:rPr>
          <w:color w:val="auto"/>
          <w:highlight w:val="none"/>
        </w:rPr>
      </w:pPr>
      <w:r>
        <w:rPr>
          <w:rFonts w:hint="eastAsia"/>
          <w:color w:val="auto"/>
          <w:highlight w:val="none"/>
        </w:rPr>
        <w:t>5.3 逾期送达的参选文件，不予接收。</w:t>
      </w:r>
    </w:p>
    <w:p>
      <w:pPr>
        <w:pStyle w:val="4"/>
        <w:rPr>
          <w:color w:val="auto"/>
          <w:highlight w:val="none"/>
        </w:rPr>
      </w:pPr>
      <w:r>
        <w:rPr>
          <w:rFonts w:hint="eastAsia"/>
          <w:color w:val="auto"/>
          <w:highlight w:val="none"/>
        </w:rPr>
        <w:t>6. 发布公告的媒介</w:t>
      </w:r>
      <w:bookmarkEnd w:id="22"/>
      <w:bookmarkEnd w:id="23"/>
      <w:bookmarkEnd w:id="24"/>
    </w:p>
    <w:p>
      <w:pPr>
        <w:ind w:firstLine="480"/>
        <w:rPr>
          <w:color w:val="auto"/>
          <w:highlight w:val="none"/>
        </w:rPr>
      </w:pPr>
      <w:bookmarkStart w:id="25" w:name="_Toc469574670"/>
      <w:bookmarkStart w:id="26" w:name="_Toc89675133"/>
      <w:bookmarkStart w:id="27" w:name="_Toc250565211"/>
      <w:bookmarkStart w:id="28" w:name="_Toc55379224"/>
      <w:r>
        <w:rPr>
          <w:rFonts w:hint="eastAsia"/>
          <w:color w:val="auto"/>
          <w:highlight w:val="none"/>
        </w:rPr>
        <w:t>本次比选公告同时在《重庆市公共资源交易网（www.cqggzy.com）》《重庆三峡银行官网（https://www.ccqtgb.com）》和《中国比选参选公共服务平台（http://www.cebpubservice.com）》上发布。</w:t>
      </w:r>
    </w:p>
    <w:p>
      <w:pPr>
        <w:pStyle w:val="4"/>
        <w:numPr>
          <w:ilvl w:val="0"/>
          <w:numId w:val="1"/>
        </w:numPr>
        <w:rPr>
          <w:rFonts w:hint="eastAsia"/>
          <w:color w:val="auto"/>
        </w:rPr>
      </w:pPr>
      <w:r>
        <w:rPr>
          <w:rFonts w:hint="eastAsia"/>
          <w:color w:val="auto"/>
        </w:rPr>
        <w:t>联系方式</w:t>
      </w:r>
      <w:bookmarkEnd w:id="25"/>
      <w:bookmarkEnd w:id="26"/>
      <w:bookmarkEnd w:id="27"/>
      <w:bookmarkEnd w:id="28"/>
    </w:p>
    <w:p>
      <w:pPr>
        <w:bidi w:val="0"/>
        <w:rPr>
          <w:color w:val="auto"/>
          <w:highlight w:val="none"/>
        </w:rPr>
      </w:pPr>
      <w:r>
        <w:rPr>
          <w:rFonts w:hint="eastAsia"/>
          <w:color w:val="auto"/>
          <w:highlight w:val="none"/>
        </w:rPr>
        <w:t>比选人：重庆三峡银行股份有限公司</w:t>
      </w:r>
    </w:p>
    <w:p>
      <w:pPr>
        <w:bidi w:val="0"/>
        <w:rPr>
          <w:color w:val="auto"/>
          <w:highlight w:val="none"/>
        </w:rPr>
      </w:pPr>
      <w:r>
        <w:rPr>
          <w:rFonts w:hint="eastAsia"/>
          <w:color w:val="auto"/>
          <w:highlight w:val="none"/>
        </w:rPr>
        <w:t>地址：重庆市渝北区嘉州路88号中渝国际都会4号写字楼21层</w:t>
      </w:r>
    </w:p>
    <w:p>
      <w:pPr>
        <w:bidi w:val="0"/>
        <w:rPr>
          <w:rFonts w:hint="eastAsia" w:eastAsia="宋体"/>
          <w:color w:val="auto"/>
          <w:highlight w:val="none"/>
          <w:lang w:val="en-US" w:eastAsia="zh-CN"/>
        </w:rPr>
      </w:pPr>
      <w:r>
        <w:rPr>
          <w:rFonts w:hint="eastAsia"/>
          <w:color w:val="auto"/>
          <w:highlight w:val="none"/>
        </w:rPr>
        <w:t>联系人：敬希</w:t>
      </w:r>
      <w:r>
        <w:rPr>
          <w:rFonts w:hint="eastAsia"/>
          <w:color w:val="auto"/>
          <w:highlight w:val="none"/>
          <w:lang w:val="en-US" w:eastAsia="zh-CN"/>
        </w:rPr>
        <w:t>、杨大露</w:t>
      </w:r>
    </w:p>
    <w:p>
      <w:pPr>
        <w:bidi w:val="0"/>
        <w:rPr>
          <w:color w:val="auto"/>
          <w:highlight w:val="none"/>
        </w:rPr>
      </w:pPr>
      <w:r>
        <w:rPr>
          <w:rFonts w:hint="eastAsia"/>
          <w:color w:val="auto"/>
          <w:highlight w:val="none"/>
        </w:rPr>
        <w:t>采购咨询电话：023-88890</w:t>
      </w:r>
      <w:r>
        <w:rPr>
          <w:color w:val="auto"/>
          <w:highlight w:val="none"/>
        </w:rPr>
        <w:t>395</w:t>
      </w:r>
    </w:p>
    <w:p>
      <w:pPr>
        <w:bidi w:val="0"/>
        <w:rPr>
          <w:color w:val="auto"/>
          <w:highlight w:val="none"/>
        </w:rPr>
      </w:pPr>
      <w:r>
        <w:rPr>
          <w:rFonts w:hint="eastAsia"/>
          <w:color w:val="auto"/>
          <w:highlight w:val="none"/>
        </w:rPr>
        <w:t>业务咨询电话：13389677106</w:t>
      </w:r>
    </w:p>
    <w:p>
      <w:pPr>
        <w:bidi w:val="0"/>
        <w:rPr>
          <w:color w:val="auto"/>
          <w:highlight w:val="none"/>
        </w:rPr>
      </w:pPr>
      <w:r>
        <w:rPr>
          <w:rFonts w:hint="eastAsia"/>
          <w:color w:val="auto"/>
          <w:highlight w:val="none"/>
        </w:rPr>
        <w:t>邮箱：</w:t>
      </w:r>
      <w:r>
        <w:rPr>
          <w:rFonts w:ascii="宋体" w:hAnsi="宋体" w:cs="Cambria"/>
          <w:snapToGrid w:val="0"/>
          <w:color w:val="auto"/>
          <w:kern w:val="0"/>
          <w:szCs w:val="24"/>
          <w:highlight w:val="none"/>
          <w:u w:val="none"/>
        </w:rPr>
        <w:t>sx.jcb@ccqtgb.com</w:t>
      </w:r>
    </w:p>
    <w:p>
      <w:pPr>
        <w:bidi w:val="0"/>
        <w:rPr>
          <w:rFonts w:hint="eastAsia"/>
          <w:color w:val="auto"/>
          <w:highlight w:val="none"/>
        </w:rPr>
      </w:pPr>
      <w:r>
        <w:rPr>
          <w:rFonts w:hint="eastAsia"/>
          <w:color w:val="auto"/>
          <w:highlight w:val="none"/>
        </w:rPr>
        <w:t>平台服务机构：重庆联合产权交易所集团股份有限公司</w:t>
      </w:r>
    </w:p>
    <w:p>
      <w:pPr>
        <w:bidi w:val="0"/>
        <w:rPr>
          <w:rFonts w:hint="eastAsia"/>
          <w:color w:val="auto"/>
          <w:highlight w:val="none"/>
        </w:rPr>
      </w:pPr>
      <w:r>
        <w:rPr>
          <w:rFonts w:hint="eastAsia"/>
          <w:color w:val="auto"/>
          <w:highlight w:val="none"/>
        </w:rPr>
        <w:t>平台服务联系人：</w:t>
      </w:r>
      <w:r>
        <w:rPr>
          <w:rFonts w:hint="eastAsia"/>
          <w:color w:val="auto"/>
          <w:highlight w:val="none"/>
          <w:lang w:val="en-US" w:eastAsia="zh-CN"/>
        </w:rPr>
        <w:t>罗</w:t>
      </w:r>
      <w:r>
        <w:rPr>
          <w:rFonts w:hint="eastAsia"/>
          <w:color w:val="auto"/>
          <w:highlight w:val="none"/>
        </w:rPr>
        <w:t>老师</w:t>
      </w:r>
    </w:p>
    <w:p>
      <w:pPr>
        <w:bidi w:val="0"/>
        <w:rPr>
          <w:rFonts w:hint="default" w:eastAsia="宋体"/>
          <w:color w:val="auto"/>
          <w:highlight w:val="none"/>
          <w:lang w:val="en-US" w:eastAsia="zh-CN"/>
        </w:rPr>
      </w:pPr>
      <w:r>
        <w:rPr>
          <w:rFonts w:hint="eastAsia"/>
          <w:color w:val="auto"/>
          <w:highlight w:val="none"/>
        </w:rPr>
        <w:t>平台服务电话：023-6362</w:t>
      </w:r>
      <w:r>
        <w:rPr>
          <w:rFonts w:hint="eastAsia"/>
          <w:color w:val="auto"/>
          <w:highlight w:val="none"/>
          <w:lang w:val="en-US" w:eastAsia="zh-CN"/>
        </w:rPr>
        <w:t>6034</w:t>
      </w:r>
    </w:p>
    <w:p>
      <w:pPr>
        <w:spacing w:line="240" w:lineRule="auto"/>
        <w:ind w:firstLine="0" w:firstLineChars="0"/>
        <w:jc w:val="right"/>
        <w:rPr>
          <w:color w:val="auto"/>
        </w:rPr>
      </w:pPr>
      <w:r>
        <w:rPr>
          <w:rFonts w:hint="eastAsia"/>
          <w:color w:val="auto"/>
        </w:rPr>
        <w:t>重庆三峡银行股份有限公司</w:t>
      </w:r>
    </w:p>
    <w:p>
      <w:pPr>
        <w:ind w:firstLine="480"/>
        <w:jc w:val="right"/>
        <w:rPr>
          <w:color w:val="auto"/>
          <w:highlight w:val="none"/>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p>
    <w:p>
      <w:pPr>
        <w:ind w:firstLine="480"/>
        <w:rPr>
          <w:color w:val="auto"/>
          <w:highlight w:val="none"/>
        </w:rPr>
      </w:pPr>
      <w:r>
        <w:rPr>
          <w:color w:val="auto"/>
          <w:highlight w:val="none"/>
        </w:rPr>
        <w:br w:type="page"/>
      </w:r>
    </w:p>
    <w:p>
      <w:pPr>
        <w:pStyle w:val="3"/>
        <w:rPr>
          <w:color w:val="auto"/>
        </w:rPr>
      </w:pPr>
      <w:bookmarkStart w:id="29" w:name="_Toc89675159"/>
      <w:bookmarkStart w:id="30" w:name="_Toc8463"/>
      <w:bookmarkStart w:id="31" w:name="_Toc303066033"/>
      <w:r>
        <w:rPr>
          <w:rFonts w:hint="eastAsia"/>
          <w:color w:val="auto"/>
        </w:rPr>
        <w:t>第二章 参选人须知</w:t>
      </w:r>
      <w:bookmarkEnd w:id="29"/>
      <w:bookmarkEnd w:id="30"/>
      <w:bookmarkEnd w:id="31"/>
    </w:p>
    <w:p>
      <w:pPr>
        <w:pStyle w:val="4"/>
        <w:rPr>
          <w:color w:val="auto"/>
        </w:rPr>
      </w:pPr>
      <w:bookmarkStart w:id="32" w:name="_Toc89675160"/>
      <w:bookmarkStart w:id="33" w:name="_Toc89675161"/>
      <w:r>
        <w:rPr>
          <w:rFonts w:hint="eastAsia"/>
          <w:color w:val="auto"/>
        </w:rPr>
        <w:t>1. 项目信息</w:t>
      </w:r>
    </w:p>
    <w:p>
      <w:pPr>
        <w:pStyle w:val="5"/>
        <w:ind w:firstLine="482"/>
        <w:rPr>
          <w:color w:val="auto"/>
        </w:rPr>
      </w:pPr>
      <w:r>
        <w:rPr>
          <w:rFonts w:hint="eastAsia"/>
          <w:color w:val="auto"/>
        </w:rPr>
        <w:t>1.1 比选人</w:t>
      </w:r>
    </w:p>
    <w:p>
      <w:pPr>
        <w:ind w:firstLine="480"/>
        <w:rPr>
          <w:color w:val="auto"/>
        </w:rPr>
      </w:pPr>
      <w:r>
        <w:rPr>
          <w:color w:val="auto"/>
        </w:rPr>
        <w:t>重庆三峡银行股份有限公司</w:t>
      </w:r>
    </w:p>
    <w:p>
      <w:pPr>
        <w:pStyle w:val="5"/>
        <w:ind w:firstLine="482"/>
        <w:rPr>
          <w:color w:val="auto"/>
        </w:rPr>
      </w:pPr>
      <w:r>
        <w:rPr>
          <w:rFonts w:hint="eastAsia"/>
          <w:color w:val="auto"/>
        </w:rPr>
        <w:t>1.2 最高限价</w:t>
      </w:r>
    </w:p>
    <w:p>
      <w:pPr>
        <w:ind w:firstLine="480"/>
        <w:rPr>
          <w:color w:val="auto"/>
        </w:rPr>
      </w:pPr>
      <w:r>
        <w:rPr>
          <w:rFonts w:hint="eastAsia"/>
          <w:color w:val="auto"/>
        </w:rPr>
        <w:t>本项目最高限价为：</w:t>
      </w:r>
      <w:r>
        <w:rPr>
          <w:rFonts w:hint="eastAsia"/>
          <w:color w:val="auto"/>
          <w:u w:val="single"/>
        </w:rPr>
        <w:t xml:space="preserve"> 444000.00元 </w:t>
      </w:r>
      <w:r>
        <w:rPr>
          <w:rFonts w:hint="eastAsia"/>
          <w:color w:val="auto"/>
        </w:rPr>
        <w:t>（人民币大写：</w:t>
      </w:r>
      <w:r>
        <w:rPr>
          <w:rFonts w:hint="eastAsia"/>
          <w:color w:val="auto"/>
          <w:u w:val="single"/>
        </w:rPr>
        <w:t xml:space="preserve"> 肆拾肆万肆仟元整 </w:t>
      </w:r>
      <w:r>
        <w:rPr>
          <w:rFonts w:hint="eastAsia"/>
          <w:color w:val="auto"/>
        </w:rPr>
        <w:t>）。</w:t>
      </w:r>
    </w:p>
    <w:p>
      <w:pPr>
        <w:pStyle w:val="5"/>
        <w:ind w:firstLine="482"/>
        <w:rPr>
          <w:color w:val="auto"/>
        </w:rPr>
      </w:pPr>
      <w:r>
        <w:rPr>
          <w:rFonts w:hint="eastAsia"/>
          <w:color w:val="auto"/>
        </w:rPr>
        <w:t>1.3 项目概况</w:t>
      </w:r>
    </w:p>
    <w:bookmarkEnd w:id="32"/>
    <w:p>
      <w:pPr>
        <w:ind w:firstLine="480"/>
        <w:rPr>
          <w:color w:val="auto"/>
        </w:rPr>
      </w:pPr>
      <w:r>
        <w:rPr>
          <w:rFonts w:hint="eastAsia"/>
          <w:color w:val="auto"/>
        </w:rPr>
        <w:t>我行于2022年1月通过公开比选方式采购了4台成都数维通信技术有限公司网络分流（以下简称TAP）交换机。当前需进一步加强镜像流量数据采集的全面性和及时性，同步推进信创网络区域建设的流量镜像采集工作。为解决TAP交换机端口容量瓶颈，拟通过公开比选方式采购2台信创TAP交换机进行扩容。</w:t>
      </w:r>
    </w:p>
    <w:p>
      <w:pPr>
        <w:pStyle w:val="5"/>
        <w:ind w:firstLine="482"/>
        <w:rPr>
          <w:color w:val="auto"/>
        </w:rPr>
      </w:pPr>
      <w:r>
        <w:rPr>
          <w:rFonts w:hint="eastAsia"/>
          <w:color w:val="auto"/>
        </w:rPr>
        <w:t>1.4 项目目标</w:t>
      </w:r>
    </w:p>
    <w:p>
      <w:pPr>
        <w:ind w:firstLine="480"/>
        <w:rPr>
          <w:color w:val="auto"/>
          <w:highlight w:val="lightGray"/>
        </w:rPr>
      </w:pPr>
      <w:r>
        <w:rPr>
          <w:rFonts w:hint="eastAsia"/>
          <w:color w:val="auto"/>
        </w:rPr>
        <w:t>采购2台信创TAP交换机。</w:t>
      </w:r>
    </w:p>
    <w:p>
      <w:pPr>
        <w:pStyle w:val="4"/>
        <w:rPr>
          <w:color w:val="auto"/>
          <w:highlight w:val="none"/>
        </w:rPr>
      </w:pPr>
      <w:r>
        <w:rPr>
          <w:rFonts w:hint="eastAsia"/>
          <w:color w:val="auto"/>
          <w:highlight w:val="none"/>
        </w:rPr>
        <w:t xml:space="preserve">2. </w:t>
      </w:r>
      <w:r>
        <w:rPr>
          <w:color w:val="auto"/>
          <w:highlight w:val="none"/>
        </w:rPr>
        <w:t>参选</w:t>
      </w:r>
      <w:r>
        <w:rPr>
          <w:rFonts w:hint="eastAsia"/>
          <w:color w:val="auto"/>
          <w:highlight w:val="none"/>
        </w:rPr>
        <w:t>人</w:t>
      </w:r>
      <w:bookmarkEnd w:id="33"/>
    </w:p>
    <w:p>
      <w:pPr>
        <w:ind w:firstLine="480"/>
        <w:rPr>
          <w:color w:val="auto"/>
          <w:highlight w:val="none"/>
        </w:rPr>
      </w:pPr>
      <w:r>
        <w:rPr>
          <w:rFonts w:hint="eastAsia"/>
          <w:color w:val="auto"/>
          <w:highlight w:val="none"/>
        </w:rPr>
        <w:t>2.1 合格参选人条件</w:t>
      </w:r>
    </w:p>
    <w:p>
      <w:pPr>
        <w:ind w:firstLine="480"/>
        <w:rPr>
          <w:color w:val="auto"/>
          <w:highlight w:val="none"/>
        </w:rPr>
      </w:pPr>
      <w:r>
        <w:rPr>
          <w:rFonts w:hint="eastAsia"/>
          <w:color w:val="auto"/>
          <w:highlight w:val="none"/>
        </w:rPr>
        <w:t>合格参选人应完全符合比选文件第一章中规定的参选人资格条件，并对比选文件作出实质性响应。</w:t>
      </w:r>
    </w:p>
    <w:p>
      <w:pPr>
        <w:ind w:firstLine="480"/>
        <w:rPr>
          <w:color w:val="auto"/>
          <w:highlight w:val="none"/>
        </w:rPr>
      </w:pPr>
      <w:r>
        <w:rPr>
          <w:rFonts w:hint="eastAsia"/>
          <w:color w:val="auto"/>
          <w:highlight w:val="none"/>
        </w:rPr>
        <w:t>2.2 参选人的风险</w:t>
      </w:r>
    </w:p>
    <w:p>
      <w:pPr>
        <w:ind w:firstLine="48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pPr>
        <w:pStyle w:val="4"/>
        <w:rPr>
          <w:color w:val="auto"/>
          <w:highlight w:val="none"/>
        </w:rPr>
      </w:pPr>
      <w:bookmarkStart w:id="34" w:name="_Toc89675162"/>
      <w:r>
        <w:rPr>
          <w:rFonts w:hint="eastAsia"/>
          <w:color w:val="auto"/>
          <w:highlight w:val="none"/>
        </w:rPr>
        <w:t>3. 比选文件</w:t>
      </w:r>
      <w:bookmarkEnd w:id="34"/>
    </w:p>
    <w:p>
      <w:pPr>
        <w:ind w:firstLine="480"/>
        <w:rPr>
          <w:color w:val="auto"/>
          <w:highlight w:val="none"/>
        </w:rPr>
      </w:pPr>
      <w:r>
        <w:rPr>
          <w:rFonts w:hint="eastAsia"/>
          <w:color w:val="auto"/>
          <w:highlight w:val="none"/>
        </w:rPr>
        <w:t>比选文件是参选人编制参选文件的依据，是评审委员会评判依据和标准。比选文件也是比选人与中选人签订合同的基础。</w:t>
      </w:r>
    </w:p>
    <w:p>
      <w:pPr>
        <w:ind w:firstLine="480"/>
        <w:rPr>
          <w:color w:val="auto"/>
          <w:highlight w:val="none"/>
        </w:rPr>
      </w:pPr>
      <w:r>
        <w:rPr>
          <w:rFonts w:hint="eastAsia"/>
          <w:color w:val="auto"/>
          <w:highlight w:val="none"/>
        </w:rPr>
        <w:t>本行对比选文件所作的一切有效的书面通知、修改及补充，都是比选文件不可分割的部分。</w:t>
      </w:r>
    </w:p>
    <w:p>
      <w:pPr>
        <w:pStyle w:val="4"/>
        <w:rPr>
          <w:color w:val="auto"/>
          <w:highlight w:val="none"/>
        </w:rPr>
      </w:pPr>
      <w:bookmarkStart w:id="35" w:name="_Toc89675163"/>
      <w:r>
        <w:rPr>
          <w:rFonts w:hint="eastAsia"/>
          <w:color w:val="auto"/>
          <w:highlight w:val="none"/>
        </w:rPr>
        <w:t xml:space="preserve">4. </w:t>
      </w:r>
      <w:r>
        <w:rPr>
          <w:color w:val="auto"/>
          <w:highlight w:val="none"/>
        </w:rPr>
        <w:t>参选</w:t>
      </w:r>
      <w:bookmarkEnd w:id="35"/>
    </w:p>
    <w:p>
      <w:pPr>
        <w:ind w:firstLine="480"/>
        <w:rPr>
          <w:color w:val="auto"/>
          <w:highlight w:val="none"/>
        </w:rPr>
      </w:pPr>
      <w:r>
        <w:rPr>
          <w:rFonts w:hint="eastAsia"/>
          <w:color w:val="auto"/>
          <w:highlight w:val="none"/>
        </w:rPr>
        <w:t>参选人应当按照比选文件的要求编制参选文件，并对比选文件提出的要求和条件作出实质性响应。</w:t>
      </w:r>
    </w:p>
    <w:p>
      <w:pPr>
        <w:pStyle w:val="5"/>
        <w:ind w:firstLine="482"/>
        <w:rPr>
          <w:color w:val="auto"/>
          <w:highlight w:val="none"/>
        </w:rPr>
      </w:pPr>
      <w:r>
        <w:rPr>
          <w:rFonts w:hint="eastAsia"/>
          <w:color w:val="auto"/>
          <w:highlight w:val="none"/>
        </w:rPr>
        <w:t>4.1 参选文件组成</w:t>
      </w:r>
    </w:p>
    <w:p>
      <w:pPr>
        <w:ind w:firstLine="480"/>
        <w:rPr>
          <w:color w:val="auto"/>
          <w:highlight w:val="none"/>
        </w:rPr>
      </w:pPr>
      <w:r>
        <w:rPr>
          <w:rFonts w:hint="eastAsia"/>
          <w:color w:val="auto"/>
          <w:highlight w:val="none"/>
        </w:rPr>
        <w:t>参选文件由参选人所作的一切有效补充、修改和承诺等文件组成，参选人应按照第六章“参选文件格式”规定的目录顺序组织编写和装订，内容齐全、无遗漏，否则有可能影响参选人的参选文件评审。</w:t>
      </w:r>
    </w:p>
    <w:p>
      <w:pPr>
        <w:pStyle w:val="5"/>
        <w:ind w:firstLine="482"/>
        <w:rPr>
          <w:color w:val="auto"/>
          <w:highlight w:val="none"/>
        </w:rPr>
      </w:pPr>
      <w:r>
        <w:rPr>
          <w:rFonts w:hint="eastAsia"/>
          <w:color w:val="auto"/>
          <w:highlight w:val="none"/>
        </w:rPr>
        <w:t>4.2 联合参选</w:t>
      </w:r>
    </w:p>
    <w:p>
      <w:pPr>
        <w:ind w:firstLine="480"/>
        <w:rPr>
          <w:color w:val="auto"/>
          <w:highlight w:val="none"/>
        </w:rPr>
      </w:pPr>
      <w:r>
        <w:rPr>
          <w:rFonts w:hint="eastAsia"/>
          <w:color w:val="auto"/>
          <w:highlight w:val="none"/>
        </w:rPr>
        <w:t>本比选项目不接受联合参选</w:t>
      </w:r>
    </w:p>
    <w:p>
      <w:pPr>
        <w:pStyle w:val="5"/>
        <w:ind w:firstLine="482"/>
        <w:rPr>
          <w:color w:val="auto"/>
          <w:highlight w:val="none"/>
        </w:rPr>
      </w:pPr>
      <w:r>
        <w:rPr>
          <w:rFonts w:hint="eastAsia"/>
          <w:color w:val="auto"/>
          <w:highlight w:val="none"/>
        </w:rPr>
        <w:t>4.3 参选有效期</w:t>
      </w:r>
    </w:p>
    <w:p>
      <w:pPr>
        <w:ind w:firstLine="480"/>
        <w:rPr>
          <w:color w:val="auto"/>
          <w:highlight w:val="none"/>
        </w:rPr>
      </w:pPr>
      <w:r>
        <w:rPr>
          <w:rFonts w:hint="eastAsia"/>
          <w:color w:val="auto"/>
          <w:highlight w:val="none"/>
        </w:rPr>
        <w:t>参选有效期为参选截止日期后90天内。</w:t>
      </w:r>
    </w:p>
    <w:p>
      <w:pPr>
        <w:pStyle w:val="5"/>
        <w:ind w:firstLine="482"/>
        <w:rPr>
          <w:color w:val="auto"/>
          <w:highlight w:val="none"/>
        </w:rPr>
      </w:pPr>
      <w:r>
        <w:rPr>
          <w:rFonts w:hint="eastAsia"/>
          <w:color w:val="auto"/>
          <w:highlight w:val="none"/>
        </w:rPr>
        <w:t>4.4 参选保证金</w:t>
      </w:r>
    </w:p>
    <w:p>
      <w:pPr>
        <w:ind w:firstLine="480"/>
        <w:rPr>
          <w:color w:val="auto"/>
          <w:highlight w:val="none"/>
        </w:rPr>
      </w:pPr>
      <w:r>
        <w:rPr>
          <w:rFonts w:hint="eastAsia"/>
          <w:color w:val="auto"/>
          <w:highlight w:val="none"/>
        </w:rPr>
        <w:t>4.4.1 参选人应在参选截止时间前，按比选文件第一章规定向比选人缴纳参选保证金。</w:t>
      </w:r>
    </w:p>
    <w:p>
      <w:pPr>
        <w:ind w:firstLine="480"/>
        <w:rPr>
          <w:color w:val="auto"/>
          <w:highlight w:val="none"/>
        </w:rPr>
      </w:pPr>
      <w:r>
        <w:rPr>
          <w:rFonts w:hint="eastAsia"/>
          <w:color w:val="auto"/>
          <w:highlight w:val="none"/>
        </w:rPr>
        <w:t>4.4.2 参选保证金为参选的有效约束条件。</w:t>
      </w:r>
    </w:p>
    <w:p>
      <w:pPr>
        <w:ind w:firstLine="480"/>
        <w:rPr>
          <w:color w:val="auto"/>
          <w:highlight w:val="none"/>
        </w:rPr>
      </w:pPr>
      <w:r>
        <w:rPr>
          <w:rFonts w:hint="eastAsia"/>
          <w:color w:val="auto"/>
          <w:highlight w:val="none"/>
        </w:rPr>
        <w:t>4.4.3 参选保证金有效期与参选文件有效期一致。</w:t>
      </w:r>
    </w:p>
    <w:p>
      <w:pPr>
        <w:ind w:firstLine="480"/>
        <w:rPr>
          <w:color w:val="auto"/>
          <w:highlight w:val="none"/>
        </w:rPr>
      </w:pPr>
      <w:r>
        <w:rPr>
          <w:rFonts w:hint="eastAsia"/>
          <w:color w:val="auto"/>
          <w:highlight w:val="none"/>
        </w:rPr>
        <w:t>4.4.4 参选保证金币种应与参选报价币种相同。</w:t>
      </w:r>
    </w:p>
    <w:p>
      <w:pPr>
        <w:ind w:firstLine="480"/>
        <w:rPr>
          <w:color w:val="auto"/>
          <w:highlight w:val="none"/>
        </w:rPr>
      </w:pPr>
      <w:r>
        <w:rPr>
          <w:rFonts w:hint="eastAsia"/>
          <w:color w:val="auto"/>
          <w:highlight w:val="none"/>
        </w:rPr>
        <w:t>4.4.5 参选保证金的退还：</w:t>
      </w:r>
    </w:p>
    <w:p>
      <w:pPr>
        <w:ind w:firstLine="48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ind w:firstLine="48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ind w:firstLine="48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pPr>
        <w:ind w:firstLine="480"/>
        <w:rPr>
          <w:color w:val="auto"/>
          <w:highlight w:val="none"/>
        </w:rPr>
      </w:pPr>
      <w:r>
        <w:rPr>
          <w:rFonts w:hint="eastAsia"/>
          <w:color w:val="auto"/>
          <w:highlight w:val="none"/>
        </w:rPr>
        <w:t>4.4.6 参选人有下列情形之一的，参选保证金将不予退还：</w:t>
      </w:r>
    </w:p>
    <w:p>
      <w:pPr>
        <w:ind w:firstLine="480"/>
        <w:rPr>
          <w:color w:val="auto"/>
          <w:highlight w:val="none"/>
        </w:rPr>
      </w:pPr>
      <w:r>
        <w:rPr>
          <w:rFonts w:hint="eastAsia"/>
          <w:color w:val="auto"/>
          <w:highlight w:val="none"/>
        </w:rPr>
        <w:t>4.4.6.1 参选人在参选有效期内撤销参选文件的；</w:t>
      </w:r>
    </w:p>
    <w:p>
      <w:pPr>
        <w:ind w:firstLine="480"/>
        <w:rPr>
          <w:color w:val="auto"/>
          <w:highlight w:val="none"/>
        </w:rPr>
      </w:pPr>
      <w:r>
        <w:rPr>
          <w:rFonts w:hint="eastAsia"/>
          <w:color w:val="auto"/>
          <w:highlight w:val="none"/>
        </w:rPr>
        <w:t>4.4.6.2 参选人在参选过程中弄虚作假，提供虚假材料的；</w:t>
      </w:r>
    </w:p>
    <w:p>
      <w:pPr>
        <w:ind w:firstLine="480"/>
        <w:rPr>
          <w:color w:val="auto"/>
          <w:highlight w:val="none"/>
        </w:rPr>
      </w:pPr>
      <w:r>
        <w:rPr>
          <w:rFonts w:hint="eastAsia"/>
          <w:color w:val="auto"/>
          <w:highlight w:val="none"/>
        </w:rPr>
        <w:t>4.4.6.3 中选人无正当理由不与比选人签订合同的；</w:t>
      </w:r>
    </w:p>
    <w:p>
      <w:pPr>
        <w:ind w:firstLine="480"/>
        <w:rPr>
          <w:color w:val="auto"/>
          <w:highlight w:val="none"/>
        </w:rPr>
      </w:pPr>
      <w:r>
        <w:rPr>
          <w:rFonts w:hint="eastAsia"/>
          <w:color w:val="auto"/>
          <w:highlight w:val="none"/>
        </w:rPr>
        <w:t>4.4.6.4 中选人将中选项目转让给他人或者在参选文件中未说明且未经比选单位同意，将中选项目分包给他人的；</w:t>
      </w:r>
    </w:p>
    <w:p>
      <w:pPr>
        <w:ind w:firstLine="480"/>
        <w:rPr>
          <w:color w:val="auto"/>
          <w:highlight w:val="none"/>
        </w:rPr>
      </w:pPr>
      <w:r>
        <w:rPr>
          <w:rFonts w:hint="eastAsia"/>
          <w:color w:val="auto"/>
          <w:highlight w:val="none"/>
        </w:rPr>
        <w:t>4.4.6.5 中选人拒绝履行合同义务的；</w:t>
      </w:r>
    </w:p>
    <w:p>
      <w:pPr>
        <w:ind w:firstLine="480"/>
        <w:rPr>
          <w:color w:val="auto"/>
          <w:highlight w:val="none"/>
        </w:rPr>
      </w:pPr>
      <w:r>
        <w:rPr>
          <w:rFonts w:hint="eastAsia"/>
          <w:color w:val="auto"/>
          <w:highlight w:val="none"/>
        </w:rPr>
        <w:t>4.4.6.6 其他严重扰乱比选程序的；</w:t>
      </w:r>
    </w:p>
    <w:p>
      <w:pPr>
        <w:pStyle w:val="5"/>
        <w:ind w:firstLine="482"/>
        <w:rPr>
          <w:color w:val="auto"/>
          <w:highlight w:val="none"/>
        </w:rPr>
      </w:pPr>
      <w:r>
        <w:rPr>
          <w:rFonts w:hint="eastAsia"/>
          <w:color w:val="auto"/>
          <w:highlight w:val="none"/>
        </w:rPr>
        <w:t>4.5 参选文件的份数和签署</w:t>
      </w:r>
    </w:p>
    <w:p>
      <w:pPr>
        <w:ind w:firstLine="480"/>
        <w:rPr>
          <w:color w:val="auto"/>
          <w:highlight w:val="none"/>
        </w:rPr>
      </w:pPr>
      <w:r>
        <w:rPr>
          <w:rFonts w:hint="eastAsia"/>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单独装入信封中密封，并在信封表面加盖鲜章（公章）。</w:t>
      </w:r>
    </w:p>
    <w:p>
      <w:pPr>
        <w:ind w:firstLine="480"/>
        <w:rPr>
          <w:color w:val="auto"/>
          <w:highlight w:val="none"/>
        </w:rPr>
      </w:pPr>
      <w:r>
        <w:rPr>
          <w:rFonts w:hint="eastAsia"/>
          <w:color w:val="auto"/>
          <w:highlight w:val="none"/>
        </w:rPr>
        <w:t>4.5.2 参选文件正本中，每一页均应由参选人加盖公章，其中规定格式的文件应当按要求签名和加盖参选人公章。</w:t>
      </w:r>
    </w:p>
    <w:p>
      <w:pPr>
        <w:ind w:firstLine="480"/>
        <w:rPr>
          <w:color w:val="auto"/>
          <w:highlight w:val="none"/>
        </w:rPr>
      </w:pPr>
      <w:r>
        <w:rPr>
          <w:rFonts w:hint="eastAsia"/>
          <w:color w:val="auto"/>
          <w:highlight w:val="none"/>
        </w:rPr>
        <w:t>4.5.3 若参选人对参选文件的错处作必要修改，则应在修改处加盖参选人公章或由法人或法人授权代表签字确认。</w:t>
      </w:r>
    </w:p>
    <w:p>
      <w:pPr>
        <w:ind w:firstLine="480"/>
        <w:rPr>
          <w:color w:val="auto"/>
          <w:highlight w:val="none"/>
        </w:rPr>
      </w:pPr>
      <w:r>
        <w:rPr>
          <w:rFonts w:hint="eastAsia"/>
          <w:color w:val="auto"/>
          <w:highlight w:val="none"/>
        </w:rPr>
        <w:t>4.5.4 电报、电话、邮寄、传真形式的参选文件概不接受。</w:t>
      </w:r>
    </w:p>
    <w:p>
      <w:pPr>
        <w:pStyle w:val="5"/>
        <w:ind w:firstLine="482"/>
        <w:rPr>
          <w:color w:val="auto"/>
          <w:highlight w:val="none"/>
        </w:rPr>
      </w:pPr>
      <w:r>
        <w:rPr>
          <w:rFonts w:hint="eastAsia"/>
          <w:color w:val="auto"/>
          <w:highlight w:val="none"/>
        </w:rPr>
        <w:t>4.6 参选报价</w:t>
      </w:r>
    </w:p>
    <w:p>
      <w:pPr>
        <w:ind w:firstLine="480"/>
        <w:rPr>
          <w:color w:val="auto"/>
          <w:highlight w:val="none"/>
        </w:rPr>
      </w:pPr>
      <w:r>
        <w:rPr>
          <w:rFonts w:hint="eastAsia"/>
          <w:color w:val="auto"/>
          <w:highlight w:val="none"/>
        </w:rPr>
        <w:t>4.6.1 参选人应严格按照“参选文件格式”填写报价。</w:t>
      </w:r>
    </w:p>
    <w:p>
      <w:pPr>
        <w:ind w:firstLine="480"/>
        <w:rPr>
          <w:color w:val="auto"/>
          <w:highlight w:val="none"/>
        </w:rPr>
      </w:pPr>
      <w:r>
        <w:rPr>
          <w:rFonts w:hint="eastAsia"/>
          <w:color w:val="auto"/>
          <w:highlight w:val="none"/>
        </w:rPr>
        <w:t>4.6.2 参选人的报价为一次性报价，即在参选有效期内参选价格固定不变。</w:t>
      </w:r>
    </w:p>
    <w:p>
      <w:pPr>
        <w:ind w:firstLine="480"/>
        <w:rPr>
          <w:color w:val="auto"/>
          <w:highlight w:val="none"/>
        </w:rPr>
      </w:pPr>
      <w:r>
        <w:rPr>
          <w:rFonts w:hint="eastAsia"/>
          <w:color w:val="auto"/>
          <w:highlight w:val="none"/>
        </w:rPr>
        <w:t>4.6.3 本项目只接受一个参选报价，有选择的或有条件的参选将不予接受。</w:t>
      </w:r>
    </w:p>
    <w:p>
      <w:pPr>
        <w:pStyle w:val="5"/>
        <w:ind w:firstLine="482"/>
        <w:rPr>
          <w:color w:val="auto"/>
          <w:highlight w:val="none"/>
        </w:rPr>
      </w:pPr>
      <w:r>
        <w:rPr>
          <w:rFonts w:hint="eastAsia"/>
          <w:color w:val="auto"/>
          <w:highlight w:val="none"/>
        </w:rPr>
        <w:t>4.7 修正错误</w:t>
      </w:r>
    </w:p>
    <w:p>
      <w:pPr>
        <w:ind w:firstLine="480"/>
        <w:rPr>
          <w:color w:val="auto"/>
          <w:highlight w:val="none"/>
        </w:rPr>
      </w:pPr>
      <w:r>
        <w:rPr>
          <w:rFonts w:hint="eastAsia"/>
          <w:color w:val="auto"/>
          <w:highlight w:val="none"/>
        </w:rPr>
        <w:t>若参选文件出现计算或表达上的错误，修正错误的原则如下：</w:t>
      </w:r>
    </w:p>
    <w:p>
      <w:pPr>
        <w:ind w:firstLine="480"/>
        <w:rPr>
          <w:color w:val="auto"/>
          <w:highlight w:val="none"/>
        </w:rPr>
      </w:pPr>
      <w:r>
        <w:rPr>
          <w:rFonts w:hint="eastAsia"/>
          <w:color w:val="auto"/>
          <w:highlight w:val="none"/>
        </w:rPr>
        <w:t>4.7.1 参选文件的大写金额和小写金额不一致的，以大写金额为准；</w:t>
      </w:r>
    </w:p>
    <w:p>
      <w:pPr>
        <w:ind w:firstLine="480"/>
        <w:rPr>
          <w:color w:val="auto"/>
          <w:highlight w:val="none"/>
        </w:rPr>
      </w:pPr>
      <w:r>
        <w:rPr>
          <w:rFonts w:hint="eastAsia"/>
          <w:color w:val="auto"/>
          <w:highlight w:val="none"/>
        </w:rPr>
        <w:t>4.7.2 总价金额与按单价汇总金额不一致的，以单价金额计算结果为准；</w:t>
      </w:r>
    </w:p>
    <w:p>
      <w:pPr>
        <w:ind w:firstLine="480"/>
        <w:rPr>
          <w:color w:val="auto"/>
          <w:highlight w:val="none"/>
        </w:rPr>
      </w:pPr>
      <w:r>
        <w:rPr>
          <w:rFonts w:hint="eastAsia"/>
          <w:color w:val="auto"/>
          <w:highlight w:val="none"/>
        </w:rPr>
        <w:t>4.7.3 单价金额小数点有明显错位的，应以总价为准，并修正单价；</w:t>
      </w:r>
    </w:p>
    <w:p>
      <w:pPr>
        <w:ind w:firstLine="480"/>
        <w:rPr>
          <w:color w:val="auto"/>
          <w:highlight w:val="none"/>
        </w:rPr>
      </w:pPr>
      <w:r>
        <w:rPr>
          <w:rFonts w:hint="eastAsia"/>
          <w:color w:val="auto"/>
          <w:highlight w:val="none"/>
        </w:rPr>
        <w:t>4.7.4 对不同文字文本参选文件的解释发生异议的，以中文文本为准。</w:t>
      </w:r>
    </w:p>
    <w:p>
      <w:pPr>
        <w:ind w:firstLine="480"/>
        <w:rPr>
          <w:color w:val="auto"/>
          <w:highlight w:val="none"/>
        </w:rPr>
      </w:pPr>
      <w:r>
        <w:rPr>
          <w:rFonts w:hint="eastAsia"/>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pStyle w:val="5"/>
        <w:ind w:firstLine="482"/>
        <w:rPr>
          <w:color w:val="auto"/>
          <w:highlight w:val="none"/>
        </w:rPr>
      </w:pPr>
      <w:r>
        <w:rPr>
          <w:rFonts w:hint="eastAsia"/>
          <w:color w:val="auto"/>
          <w:highlight w:val="none"/>
        </w:rPr>
        <w:t>4.8 参选文件的密封与标记</w:t>
      </w:r>
    </w:p>
    <w:p>
      <w:pPr>
        <w:ind w:firstLine="48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pPr>
        <w:ind w:firstLine="480"/>
        <w:rPr>
          <w:color w:val="auto"/>
          <w:highlight w:val="none"/>
        </w:rPr>
      </w:pPr>
      <w:r>
        <w:rPr>
          <w:rFonts w:hint="eastAsia"/>
          <w:color w:val="auto"/>
          <w:highlight w:val="none"/>
        </w:rPr>
        <w:t>如果未按上述规定进行密封和标记，则其参选将作为无效参选处理。</w:t>
      </w:r>
    </w:p>
    <w:p>
      <w:pPr>
        <w:pStyle w:val="4"/>
        <w:rPr>
          <w:color w:val="auto"/>
          <w:highlight w:val="none"/>
        </w:rPr>
      </w:pPr>
      <w:bookmarkStart w:id="36" w:name="_Toc89675166"/>
      <w:r>
        <w:rPr>
          <w:rFonts w:hint="eastAsia"/>
          <w:color w:val="auto"/>
          <w:highlight w:val="none"/>
        </w:rPr>
        <w:t>5. 比选程序</w:t>
      </w:r>
    </w:p>
    <w:p>
      <w:pPr>
        <w:ind w:firstLine="480"/>
        <w:rPr>
          <w:color w:val="auto"/>
          <w:highlight w:val="none"/>
        </w:rPr>
      </w:pPr>
      <w:r>
        <w:rPr>
          <w:rFonts w:hint="eastAsia"/>
          <w:color w:val="auto"/>
          <w:highlight w:val="none"/>
        </w:rPr>
        <w:t>主持人按下列程序进行比选：</w:t>
      </w:r>
    </w:p>
    <w:p>
      <w:pPr>
        <w:ind w:firstLine="480"/>
        <w:rPr>
          <w:color w:val="auto"/>
          <w:highlight w:val="none"/>
        </w:rPr>
      </w:pPr>
      <w:r>
        <w:rPr>
          <w:rFonts w:hint="eastAsia"/>
          <w:color w:val="auto"/>
          <w:highlight w:val="none"/>
        </w:rPr>
        <w:t>5.1 宣布比选纪律；</w:t>
      </w:r>
    </w:p>
    <w:p>
      <w:pPr>
        <w:ind w:firstLine="480"/>
        <w:rPr>
          <w:color w:val="auto"/>
          <w:highlight w:val="none"/>
        </w:rPr>
      </w:pPr>
      <w:r>
        <w:rPr>
          <w:rFonts w:hint="eastAsia"/>
          <w:color w:val="auto"/>
          <w:highlight w:val="none"/>
        </w:rPr>
        <w:t>5.2 宣布比选人、唱标人、记录人、监督人等有关人员姓名；</w:t>
      </w:r>
    </w:p>
    <w:p>
      <w:pPr>
        <w:ind w:firstLine="480"/>
        <w:rPr>
          <w:color w:val="auto"/>
          <w:highlight w:val="none"/>
        </w:rPr>
      </w:pPr>
      <w:r>
        <w:rPr>
          <w:rFonts w:hint="eastAsia"/>
          <w:color w:val="auto"/>
          <w:highlight w:val="none"/>
        </w:rPr>
        <w:t>5.3 公布在比选截止时间前递交参选文件的参选人名称，并点名确认参选人是否派人到场；</w:t>
      </w:r>
    </w:p>
    <w:p>
      <w:pPr>
        <w:ind w:firstLine="480"/>
        <w:rPr>
          <w:color w:val="auto"/>
          <w:highlight w:val="none"/>
        </w:rPr>
      </w:pPr>
      <w:r>
        <w:rPr>
          <w:rFonts w:hint="eastAsia"/>
          <w:color w:val="auto"/>
          <w:highlight w:val="none"/>
        </w:rPr>
        <w:t>5.4 展示参选保证金，参选保证金缴款不全或有误的，则记录在案交由评审委员会评审；</w:t>
      </w:r>
    </w:p>
    <w:p>
      <w:pPr>
        <w:ind w:firstLine="480"/>
        <w:rPr>
          <w:color w:val="auto"/>
          <w:highlight w:val="none"/>
        </w:rPr>
      </w:pPr>
      <w:r>
        <w:rPr>
          <w:rFonts w:hint="eastAsia"/>
          <w:color w:val="auto"/>
          <w:highlight w:val="none"/>
        </w:rPr>
        <w:t>5.5 封装情况检查：参选人或者其推选的代表检查各参选文件的封装情况并确认；</w:t>
      </w:r>
    </w:p>
    <w:p>
      <w:pPr>
        <w:ind w:firstLine="480"/>
        <w:rPr>
          <w:color w:val="auto"/>
          <w:highlight w:val="none"/>
        </w:rPr>
      </w:pPr>
      <w:r>
        <w:rPr>
          <w:rFonts w:hint="eastAsia"/>
          <w:color w:val="auto"/>
          <w:highlight w:val="none"/>
        </w:rPr>
        <w:t>5.6 设有最高限价的，公布最高限价；</w:t>
      </w:r>
    </w:p>
    <w:p>
      <w:pPr>
        <w:ind w:firstLine="480"/>
        <w:rPr>
          <w:color w:val="auto"/>
          <w:highlight w:val="none"/>
        </w:rPr>
      </w:pPr>
      <w:r>
        <w:rPr>
          <w:rFonts w:hint="eastAsia"/>
          <w:color w:val="auto"/>
          <w:highlight w:val="none"/>
        </w:rPr>
        <w:t>5.7 开启参选文件；</w:t>
      </w:r>
    </w:p>
    <w:p>
      <w:pPr>
        <w:ind w:firstLine="480"/>
        <w:rPr>
          <w:color w:val="auto"/>
          <w:highlight w:val="none"/>
        </w:rPr>
      </w:pPr>
      <w:r>
        <w:rPr>
          <w:rFonts w:hint="eastAsia"/>
          <w:color w:val="auto"/>
          <w:highlight w:val="none"/>
        </w:rPr>
        <w:t>5.8 比选人代表、参选人代表、监督人、记录人等有关人员在比选记录上签字确认；</w:t>
      </w:r>
    </w:p>
    <w:p>
      <w:pPr>
        <w:ind w:firstLine="480"/>
        <w:rPr>
          <w:color w:val="auto"/>
          <w:highlight w:val="none"/>
        </w:rPr>
      </w:pPr>
      <w:r>
        <w:rPr>
          <w:rFonts w:hint="eastAsia"/>
          <w:color w:val="auto"/>
          <w:highlight w:val="none"/>
        </w:rPr>
        <w:t>5.9 比选结束。</w:t>
      </w:r>
    </w:p>
    <w:p>
      <w:pPr>
        <w:pStyle w:val="4"/>
        <w:rPr>
          <w:color w:val="auto"/>
          <w:highlight w:val="none"/>
        </w:rPr>
      </w:pPr>
      <w:r>
        <w:rPr>
          <w:rFonts w:hint="eastAsia"/>
          <w:color w:val="auto"/>
          <w:highlight w:val="none"/>
        </w:rPr>
        <w:t>6. 评审</w:t>
      </w:r>
    </w:p>
    <w:p>
      <w:pPr>
        <w:ind w:firstLine="480"/>
        <w:rPr>
          <w:color w:val="auto"/>
          <w:highlight w:val="none"/>
        </w:rPr>
      </w:pPr>
      <w:r>
        <w:rPr>
          <w:rFonts w:hint="eastAsia"/>
          <w:color w:val="auto"/>
          <w:highlight w:val="none"/>
        </w:rPr>
        <w:t>见第四章内容。</w:t>
      </w:r>
    </w:p>
    <w:p>
      <w:pPr>
        <w:pStyle w:val="4"/>
        <w:rPr>
          <w:color w:val="auto"/>
          <w:highlight w:val="none"/>
        </w:rPr>
      </w:pPr>
      <w:r>
        <w:rPr>
          <w:rFonts w:hint="eastAsia"/>
          <w:color w:val="auto"/>
          <w:highlight w:val="none"/>
        </w:rPr>
        <w:t>7. 定</w:t>
      </w:r>
      <w:r>
        <w:rPr>
          <w:color w:val="auto"/>
          <w:highlight w:val="none"/>
        </w:rPr>
        <w:t>选</w:t>
      </w:r>
      <w:bookmarkEnd w:id="36"/>
    </w:p>
    <w:p>
      <w:pPr>
        <w:ind w:firstLine="480"/>
        <w:rPr>
          <w:color w:val="auto"/>
          <w:highlight w:val="none"/>
        </w:rPr>
      </w:pPr>
      <w:r>
        <w:rPr>
          <w:rFonts w:hint="eastAsia"/>
          <w:color w:val="auto"/>
          <w:highlight w:val="none"/>
        </w:rPr>
        <w:t>7.1 定选原则</w:t>
      </w:r>
    </w:p>
    <w:p>
      <w:pPr>
        <w:ind w:firstLine="480"/>
        <w:rPr>
          <w:color w:val="auto"/>
          <w:highlight w:val="none"/>
        </w:rPr>
      </w:pPr>
      <w:r>
        <w:rPr>
          <w:rFonts w:hint="eastAsia"/>
          <w:color w:val="auto"/>
          <w:highlight w:val="none"/>
        </w:rPr>
        <w:t>比选人按照评审报告中推荐的中选候选人排名顺序确定中选人，如中选人因不可抗力或者自身原因不能履行合同的，比选人可以确定依次其后的候选人为中选人，以此类推。</w:t>
      </w:r>
    </w:p>
    <w:p>
      <w:pPr>
        <w:ind w:firstLine="480"/>
        <w:rPr>
          <w:color w:val="auto"/>
          <w:highlight w:val="none"/>
        </w:rPr>
      </w:pPr>
      <w:r>
        <w:rPr>
          <w:rFonts w:hint="eastAsia"/>
          <w:color w:val="auto"/>
          <w:highlight w:val="none"/>
        </w:rPr>
        <w:t>7.2 不承诺最低价格中选。</w:t>
      </w:r>
    </w:p>
    <w:p>
      <w:pPr>
        <w:ind w:firstLine="480"/>
        <w:rPr>
          <w:color w:val="auto"/>
          <w:highlight w:val="none"/>
        </w:rPr>
      </w:pPr>
      <w:r>
        <w:rPr>
          <w:rFonts w:hint="eastAsia"/>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pPr>
        <w:pStyle w:val="4"/>
        <w:rPr>
          <w:color w:val="auto"/>
          <w:highlight w:val="none"/>
        </w:rPr>
      </w:pPr>
      <w:bookmarkStart w:id="37" w:name="_Toc12245"/>
      <w:bookmarkStart w:id="38" w:name="_Toc89675168"/>
      <w:r>
        <w:rPr>
          <w:rFonts w:hint="eastAsia"/>
          <w:color w:val="auto"/>
          <w:highlight w:val="none"/>
        </w:rPr>
        <w:t>8. 签订合同</w:t>
      </w:r>
      <w:bookmarkEnd w:id="37"/>
      <w:bookmarkEnd w:id="38"/>
    </w:p>
    <w:p>
      <w:pPr>
        <w:ind w:firstLine="480"/>
        <w:rPr>
          <w:color w:val="auto"/>
          <w:highlight w:val="none"/>
        </w:rPr>
      </w:pPr>
      <w:r>
        <w:rPr>
          <w:rFonts w:hint="eastAsia"/>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pPr>
        <w:ind w:firstLine="480"/>
        <w:rPr>
          <w:color w:val="auto"/>
          <w:highlight w:val="none"/>
        </w:rPr>
      </w:pPr>
      <w:r>
        <w:rPr>
          <w:rFonts w:hint="eastAsia"/>
          <w:color w:val="auto"/>
          <w:highlight w:val="none"/>
        </w:rPr>
        <w:t>8.2 比选文件、中选人的参选文件及澄清文件等，均为签订合同的依据。</w:t>
      </w:r>
    </w:p>
    <w:p>
      <w:pPr>
        <w:ind w:firstLine="480"/>
        <w:rPr>
          <w:color w:val="auto"/>
          <w:highlight w:val="none"/>
        </w:rPr>
      </w:pPr>
      <w:r>
        <w:rPr>
          <w:rFonts w:hint="eastAsia"/>
          <w:color w:val="auto"/>
          <w:highlight w:val="none"/>
        </w:rPr>
        <w:t>8.3 合同生效条款由供需双方约定，法律、行政法规规定应当办理批准、登记等手续后生效的合同，依照其规定。</w:t>
      </w:r>
    </w:p>
    <w:p>
      <w:pPr>
        <w:ind w:firstLine="480"/>
        <w:rPr>
          <w:color w:val="auto"/>
          <w:highlight w:val="none"/>
        </w:rPr>
      </w:pPr>
      <w:r>
        <w:rPr>
          <w:rFonts w:hint="eastAsia"/>
          <w:color w:val="auto"/>
          <w:highlight w:val="none"/>
        </w:rPr>
        <w:t>8.4 签订合同后，若中选人无法按要求履约，比选人可以废除中选人资格，并可选择按照中选候选人顺位与下一候选人签订合同。</w:t>
      </w:r>
    </w:p>
    <w:p>
      <w:pPr>
        <w:ind w:firstLine="480"/>
        <w:rPr>
          <w:color w:val="auto"/>
          <w:highlight w:val="none"/>
        </w:rPr>
      </w:pPr>
      <w:r>
        <w:rPr>
          <w:rFonts w:hint="eastAsia"/>
          <w:color w:val="auto"/>
          <w:highlight w:val="none"/>
        </w:rPr>
        <w:t>8.5 该项目不允许任何形式的转包。</w:t>
      </w:r>
    </w:p>
    <w:p>
      <w:pPr>
        <w:pStyle w:val="4"/>
        <w:rPr>
          <w:color w:val="auto"/>
          <w:highlight w:val="none"/>
        </w:rPr>
      </w:pPr>
      <w:r>
        <w:rPr>
          <w:rFonts w:hint="eastAsia"/>
          <w:color w:val="auto"/>
          <w:highlight w:val="none"/>
        </w:rPr>
        <w:t>9. 纪律与要求</w:t>
      </w:r>
    </w:p>
    <w:p>
      <w:pPr>
        <w:ind w:firstLine="48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pPr>
        <w:ind w:firstLine="480"/>
        <w:rPr>
          <w:color w:val="auto"/>
          <w:highlight w:val="none"/>
        </w:rPr>
      </w:pPr>
      <w:r>
        <w:rPr>
          <w:rFonts w:hint="eastAsia"/>
          <w:color w:val="auto"/>
          <w:highlight w:val="none"/>
        </w:rPr>
        <w:t>9.1 有下列情形之一的，属于参选人相互串通参选：</w:t>
      </w:r>
    </w:p>
    <w:p>
      <w:pPr>
        <w:ind w:firstLine="480"/>
        <w:rPr>
          <w:color w:val="auto"/>
          <w:highlight w:val="none"/>
        </w:rPr>
      </w:pPr>
      <w:r>
        <w:rPr>
          <w:rFonts w:hint="eastAsia"/>
          <w:color w:val="auto"/>
          <w:highlight w:val="none"/>
        </w:rPr>
        <w:t>9.1.1 参选人之间协商参选报价等参选文件的实质性内容；</w:t>
      </w:r>
    </w:p>
    <w:p>
      <w:pPr>
        <w:ind w:firstLine="480"/>
        <w:rPr>
          <w:color w:val="auto"/>
          <w:highlight w:val="none"/>
        </w:rPr>
      </w:pPr>
      <w:r>
        <w:rPr>
          <w:rFonts w:hint="eastAsia"/>
          <w:color w:val="auto"/>
          <w:highlight w:val="none"/>
        </w:rPr>
        <w:t>9.1.2 参选人之间约定中选人；</w:t>
      </w:r>
    </w:p>
    <w:p>
      <w:pPr>
        <w:ind w:firstLine="480"/>
        <w:rPr>
          <w:color w:val="auto"/>
          <w:highlight w:val="none"/>
        </w:rPr>
      </w:pPr>
      <w:r>
        <w:rPr>
          <w:rFonts w:hint="eastAsia"/>
          <w:color w:val="auto"/>
          <w:highlight w:val="none"/>
        </w:rPr>
        <w:t>9.1.3 参选人之间约定部分参选人放弃参选或者中选；</w:t>
      </w:r>
    </w:p>
    <w:p>
      <w:pPr>
        <w:ind w:firstLine="480"/>
        <w:rPr>
          <w:color w:val="auto"/>
          <w:highlight w:val="none"/>
        </w:rPr>
      </w:pPr>
      <w:r>
        <w:rPr>
          <w:rFonts w:hint="eastAsia"/>
          <w:color w:val="auto"/>
          <w:highlight w:val="none"/>
        </w:rPr>
        <w:t>9.1.4 属于同一集团、协会、商会等组织成员的参选人按照该组织要求协同参选；</w:t>
      </w:r>
    </w:p>
    <w:p>
      <w:pPr>
        <w:ind w:firstLine="480"/>
        <w:rPr>
          <w:color w:val="auto"/>
          <w:highlight w:val="none"/>
        </w:rPr>
      </w:pPr>
      <w:r>
        <w:rPr>
          <w:rFonts w:hint="eastAsia"/>
          <w:color w:val="auto"/>
          <w:highlight w:val="none"/>
        </w:rPr>
        <w:t>9.1.5 参选人之间为谋取中选或者排斥特定参选人而采取的其他联合行动。</w:t>
      </w:r>
    </w:p>
    <w:p>
      <w:pPr>
        <w:ind w:firstLine="480"/>
        <w:rPr>
          <w:color w:val="auto"/>
          <w:highlight w:val="none"/>
        </w:rPr>
      </w:pPr>
      <w:r>
        <w:rPr>
          <w:rFonts w:hint="eastAsia"/>
          <w:color w:val="auto"/>
          <w:highlight w:val="none"/>
        </w:rPr>
        <w:t>9.2 有下列情形之一的，视为参选人相互串通参选：</w:t>
      </w:r>
    </w:p>
    <w:p>
      <w:pPr>
        <w:ind w:firstLine="480"/>
        <w:rPr>
          <w:color w:val="auto"/>
          <w:highlight w:val="none"/>
        </w:rPr>
      </w:pPr>
      <w:r>
        <w:rPr>
          <w:rFonts w:hint="eastAsia"/>
          <w:color w:val="auto"/>
          <w:highlight w:val="none"/>
        </w:rPr>
        <w:t>9.2.1 不同参选人的参选文件由同一单位或者个人编制；</w:t>
      </w:r>
    </w:p>
    <w:p>
      <w:pPr>
        <w:ind w:firstLine="480"/>
        <w:rPr>
          <w:color w:val="auto"/>
          <w:highlight w:val="none"/>
        </w:rPr>
      </w:pPr>
      <w:r>
        <w:rPr>
          <w:rFonts w:hint="eastAsia"/>
          <w:color w:val="auto"/>
          <w:highlight w:val="none"/>
        </w:rPr>
        <w:t>9.2.2 不同参选人委托同一单位或者个人办理参选事宜；</w:t>
      </w:r>
    </w:p>
    <w:p>
      <w:pPr>
        <w:ind w:firstLine="480"/>
        <w:rPr>
          <w:color w:val="auto"/>
          <w:highlight w:val="none"/>
        </w:rPr>
      </w:pPr>
      <w:r>
        <w:rPr>
          <w:rFonts w:hint="eastAsia"/>
          <w:color w:val="auto"/>
          <w:highlight w:val="none"/>
        </w:rPr>
        <w:t>9.2.3 不同参选人的参选文件载明的项目管理成员为同一人；</w:t>
      </w:r>
    </w:p>
    <w:p>
      <w:pPr>
        <w:ind w:firstLine="480"/>
        <w:rPr>
          <w:color w:val="auto"/>
          <w:highlight w:val="none"/>
        </w:rPr>
      </w:pPr>
      <w:r>
        <w:rPr>
          <w:rFonts w:hint="eastAsia"/>
          <w:color w:val="auto"/>
          <w:highlight w:val="none"/>
        </w:rPr>
        <w:t>9.2.4 不同参选人的参选文件相互混装；</w:t>
      </w:r>
    </w:p>
    <w:p>
      <w:pPr>
        <w:ind w:firstLine="480"/>
        <w:rPr>
          <w:color w:val="auto"/>
          <w:highlight w:val="none"/>
        </w:rPr>
      </w:pPr>
      <w:r>
        <w:rPr>
          <w:rFonts w:hint="eastAsia"/>
          <w:color w:val="auto"/>
          <w:highlight w:val="none"/>
        </w:rPr>
        <w:t>9.2.5 不同参选人的参选保证金从同一单位或者个人的账户转出。</w:t>
      </w:r>
    </w:p>
    <w:p>
      <w:pPr>
        <w:ind w:firstLine="480"/>
        <w:rPr>
          <w:color w:val="auto"/>
          <w:highlight w:val="none"/>
        </w:rPr>
      </w:pPr>
      <w:r>
        <w:rPr>
          <w:rFonts w:hint="eastAsia"/>
          <w:color w:val="auto"/>
          <w:highlight w:val="none"/>
        </w:rPr>
        <w:t>9.3 使用通过受让或者租借等方式获取的资格、资质证书参选的，属于以他人名义参选。</w:t>
      </w:r>
    </w:p>
    <w:p>
      <w:pPr>
        <w:ind w:firstLine="480"/>
        <w:rPr>
          <w:color w:val="auto"/>
          <w:highlight w:val="none"/>
        </w:rPr>
      </w:pPr>
      <w:r>
        <w:rPr>
          <w:rFonts w:hint="eastAsia"/>
          <w:color w:val="auto"/>
          <w:highlight w:val="none"/>
        </w:rPr>
        <w:t>9.4 参选人有下列情形之一的，属于弄虚作假的行为：</w:t>
      </w:r>
    </w:p>
    <w:p>
      <w:pPr>
        <w:ind w:firstLine="480"/>
        <w:rPr>
          <w:color w:val="auto"/>
          <w:highlight w:val="none"/>
        </w:rPr>
      </w:pPr>
      <w:r>
        <w:rPr>
          <w:rFonts w:hint="eastAsia"/>
          <w:color w:val="auto"/>
          <w:highlight w:val="none"/>
        </w:rPr>
        <w:t>9.4.1 使用伪造、变造的许可证件；</w:t>
      </w:r>
    </w:p>
    <w:p>
      <w:pPr>
        <w:ind w:firstLine="480"/>
        <w:rPr>
          <w:color w:val="auto"/>
          <w:highlight w:val="none"/>
        </w:rPr>
      </w:pPr>
      <w:r>
        <w:rPr>
          <w:rFonts w:hint="eastAsia"/>
          <w:color w:val="auto"/>
          <w:highlight w:val="none"/>
        </w:rPr>
        <w:t>9.4.2 提供虚假的财务状况或者虚假业绩；</w:t>
      </w:r>
    </w:p>
    <w:p>
      <w:pPr>
        <w:ind w:firstLine="480"/>
        <w:rPr>
          <w:color w:val="auto"/>
          <w:highlight w:val="none"/>
        </w:rPr>
      </w:pPr>
      <w:r>
        <w:rPr>
          <w:rFonts w:hint="eastAsia"/>
          <w:color w:val="auto"/>
          <w:highlight w:val="none"/>
        </w:rPr>
        <w:t>9.4.3 提供虚假的项目负责人或者主要技术人员简历、劳动关系证明；</w:t>
      </w:r>
    </w:p>
    <w:p>
      <w:pPr>
        <w:ind w:firstLine="480"/>
        <w:rPr>
          <w:color w:val="auto"/>
          <w:highlight w:val="none"/>
        </w:rPr>
      </w:pPr>
      <w:r>
        <w:rPr>
          <w:rFonts w:hint="eastAsia"/>
          <w:color w:val="auto"/>
          <w:highlight w:val="none"/>
        </w:rPr>
        <w:t>9.4.4 提供虚假的信用状况；</w:t>
      </w:r>
    </w:p>
    <w:p>
      <w:pPr>
        <w:ind w:firstLine="480"/>
        <w:rPr>
          <w:color w:val="auto"/>
          <w:highlight w:val="none"/>
        </w:rPr>
      </w:pPr>
      <w:r>
        <w:rPr>
          <w:rFonts w:hint="eastAsia"/>
          <w:color w:val="auto"/>
          <w:highlight w:val="none"/>
        </w:rPr>
        <w:t>9.4.5 其它弄虚作假的行为。</w:t>
      </w:r>
    </w:p>
    <w:p>
      <w:pPr>
        <w:ind w:firstLine="480"/>
        <w:rPr>
          <w:color w:val="auto"/>
          <w:highlight w:val="none"/>
        </w:rPr>
      </w:pPr>
      <w:r>
        <w:rPr>
          <w:rFonts w:hint="eastAsia"/>
          <w:color w:val="auto"/>
          <w:highlight w:val="none"/>
        </w:rPr>
        <w:t>针对以上情况，比选人有权没收参选人的参选保证金，并保留进一步追究由此带来损失的权利。</w:t>
      </w:r>
    </w:p>
    <w:p>
      <w:pPr>
        <w:pStyle w:val="4"/>
        <w:rPr>
          <w:color w:val="auto"/>
          <w:highlight w:val="none"/>
        </w:rPr>
      </w:pPr>
      <w:bookmarkStart w:id="39" w:name="_Toc89675169"/>
      <w:r>
        <w:rPr>
          <w:rFonts w:hint="eastAsia"/>
          <w:color w:val="auto"/>
          <w:highlight w:val="none"/>
        </w:rPr>
        <w:t>10. 提问、质疑、投诉</w:t>
      </w:r>
    </w:p>
    <w:p>
      <w:pPr>
        <w:ind w:firstLine="480"/>
        <w:rPr>
          <w:color w:val="auto"/>
          <w:highlight w:val="none"/>
        </w:rPr>
      </w:pPr>
      <w:r>
        <w:rPr>
          <w:rFonts w:hint="eastAsia"/>
          <w:color w:val="auto"/>
          <w:highlight w:val="none"/>
        </w:rPr>
        <w:t>10.1 补遗内容可能影响参选文件编制的，须在比选截止时间3日前发布，发布时间至比选截止时间不足3日的，须相应延后比选截止时间。</w:t>
      </w:r>
    </w:p>
    <w:p>
      <w:pPr>
        <w:ind w:firstLine="480"/>
        <w:rPr>
          <w:color w:val="auto"/>
          <w:highlight w:val="none"/>
        </w:rPr>
      </w:pPr>
      <w:r>
        <w:rPr>
          <w:rFonts w:hint="eastAsia"/>
          <w:color w:val="auto"/>
          <w:highlight w:val="none"/>
        </w:rPr>
        <w:t>10.2 参选人对比选文件和答疑补遗有质疑的，应当在比选截止时间3日前，以书面形式通知比选人。比选人应当自收到质疑之日起3日内做出答复，并将答复内容以补遗的形式发布。</w:t>
      </w:r>
    </w:p>
    <w:p>
      <w:pPr>
        <w:ind w:firstLine="480"/>
        <w:rPr>
          <w:color w:val="auto"/>
          <w:highlight w:val="none"/>
        </w:rPr>
      </w:pPr>
      <w:r>
        <w:rPr>
          <w:rFonts w:hint="eastAsia"/>
          <w:color w:val="auto"/>
          <w:highlight w:val="none"/>
        </w:rPr>
        <w:t>10.3 参选人对公示的中选结果有质疑，参选人需在公示期内以书面形式向比选人提出质疑。本行在公示截止日期前负责书面答复。</w:t>
      </w:r>
    </w:p>
    <w:p>
      <w:pPr>
        <w:ind w:firstLine="480"/>
        <w:rPr>
          <w:color w:val="auto"/>
          <w:highlight w:val="none"/>
        </w:rPr>
      </w:pPr>
      <w:r>
        <w:rPr>
          <w:rFonts w:hint="eastAsia"/>
          <w:color w:val="auto"/>
          <w:highlight w:val="none"/>
        </w:rPr>
        <w:t>10.4 参选人对比选人的答复不满意或者有质疑，可向本行纪检监察部投诉。</w:t>
      </w:r>
    </w:p>
    <w:p>
      <w:pPr>
        <w:ind w:firstLine="480"/>
        <w:rPr>
          <w:color w:val="auto"/>
          <w:highlight w:val="none"/>
        </w:rPr>
      </w:pPr>
      <w:r>
        <w:rPr>
          <w:rFonts w:hint="eastAsia"/>
          <w:color w:val="auto"/>
          <w:highlight w:val="none"/>
        </w:rPr>
        <w:t>采购质疑邮箱：</w:t>
      </w:r>
      <w:r>
        <w:rPr>
          <w:color w:val="auto"/>
          <w:highlight w:val="none"/>
        </w:rPr>
        <w:t>sx.jcb@ccqtgb.com</w:t>
      </w:r>
    </w:p>
    <w:p>
      <w:pPr>
        <w:ind w:firstLine="480"/>
        <w:rPr>
          <w:color w:val="auto"/>
          <w:highlight w:val="none"/>
        </w:rPr>
      </w:pPr>
      <w:r>
        <w:rPr>
          <w:rFonts w:hint="eastAsia"/>
          <w:color w:val="auto"/>
          <w:highlight w:val="none"/>
        </w:rPr>
        <w:t>采购投诉邮箱：</w:t>
      </w:r>
      <w:bookmarkStart w:id="40" w:name="_Hlk74215856"/>
      <w:r>
        <w:rPr>
          <w:rFonts w:hint="eastAsia" w:ascii="宋体"/>
          <w:snapToGrid w:val="0"/>
          <w:color w:val="auto"/>
          <w:kern w:val="0"/>
          <w:szCs w:val="24"/>
          <w:highlight w:val="none"/>
        </w:rPr>
        <w:t>sxyhjjz@</w:t>
      </w:r>
      <w:r>
        <w:rPr>
          <w:rFonts w:ascii="宋体"/>
          <w:snapToGrid w:val="0"/>
          <w:color w:val="auto"/>
          <w:kern w:val="0"/>
          <w:szCs w:val="24"/>
          <w:highlight w:val="none"/>
        </w:rPr>
        <w:t>ccqtgb</w:t>
      </w:r>
      <w:r>
        <w:rPr>
          <w:rFonts w:hint="eastAsia" w:ascii="宋体"/>
          <w:snapToGrid w:val="0"/>
          <w:color w:val="auto"/>
          <w:kern w:val="0"/>
          <w:szCs w:val="24"/>
          <w:highlight w:val="none"/>
        </w:rPr>
        <w:t>.com</w:t>
      </w:r>
      <w:bookmarkEnd w:id="40"/>
    </w:p>
    <w:p>
      <w:pPr>
        <w:pStyle w:val="4"/>
        <w:rPr>
          <w:color w:val="auto"/>
          <w:highlight w:val="none"/>
        </w:rPr>
      </w:pPr>
      <w:bookmarkStart w:id="41" w:name="_Toc275199618"/>
      <w:bookmarkStart w:id="42" w:name="_Toc15059431"/>
      <w:bookmarkStart w:id="43" w:name="_Toc440628924"/>
      <w:bookmarkStart w:id="44" w:name="_Toc11439"/>
      <w:bookmarkStart w:id="45" w:name="_Toc89675157"/>
      <w:r>
        <w:rPr>
          <w:rFonts w:hint="eastAsia"/>
          <w:color w:val="auto"/>
          <w:highlight w:val="none"/>
        </w:rPr>
        <w:t>11. 无效参选条款</w:t>
      </w:r>
      <w:bookmarkEnd w:id="41"/>
      <w:bookmarkEnd w:id="42"/>
      <w:bookmarkEnd w:id="43"/>
      <w:bookmarkEnd w:id="44"/>
      <w:bookmarkEnd w:id="45"/>
    </w:p>
    <w:p>
      <w:pPr>
        <w:ind w:firstLine="480"/>
        <w:rPr>
          <w:color w:val="auto"/>
          <w:highlight w:val="none"/>
        </w:rPr>
      </w:pPr>
      <w:r>
        <w:rPr>
          <w:rFonts w:hint="eastAsia"/>
          <w:color w:val="auto"/>
          <w:highlight w:val="none"/>
        </w:rPr>
        <w:t>参选人或其参选文件出现下列情况之一者，应为无效参选：</w:t>
      </w:r>
    </w:p>
    <w:p>
      <w:pPr>
        <w:ind w:firstLine="480"/>
        <w:rPr>
          <w:color w:val="auto"/>
          <w:highlight w:val="none"/>
        </w:rPr>
      </w:pPr>
      <w:r>
        <w:rPr>
          <w:rFonts w:hint="eastAsia"/>
          <w:color w:val="auto"/>
          <w:highlight w:val="none"/>
        </w:rPr>
        <w:t xml:space="preserve">11.1 </w:t>
      </w:r>
      <w:r>
        <w:rPr>
          <w:color w:val="auto"/>
          <w:highlight w:val="none"/>
        </w:rPr>
        <w:t>参选人未按比选文件规定提交足额参选保证金的</w:t>
      </w:r>
      <w:r>
        <w:rPr>
          <w:rFonts w:hint="eastAsia"/>
          <w:color w:val="auto"/>
          <w:highlight w:val="none"/>
        </w:rPr>
        <w:t>。</w:t>
      </w:r>
    </w:p>
    <w:p>
      <w:pPr>
        <w:ind w:firstLine="480"/>
        <w:rPr>
          <w:color w:val="auto"/>
          <w:highlight w:val="none"/>
        </w:rPr>
      </w:pPr>
      <w:r>
        <w:rPr>
          <w:rFonts w:hint="eastAsia"/>
          <w:color w:val="auto"/>
          <w:highlight w:val="none"/>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pPr>
        <w:ind w:firstLine="480"/>
        <w:rPr>
          <w:color w:val="auto"/>
          <w:highlight w:val="none"/>
        </w:rPr>
      </w:pPr>
      <w:r>
        <w:rPr>
          <w:rFonts w:hint="eastAsia"/>
          <w:color w:val="auto"/>
          <w:highlight w:val="none"/>
        </w:rPr>
        <w:t>11.3 参选人超出其营业执照或事业单位法人证书上经营范围（业务范围）参选的。</w:t>
      </w:r>
    </w:p>
    <w:p>
      <w:pPr>
        <w:ind w:firstLine="480"/>
        <w:rPr>
          <w:color w:val="auto"/>
          <w:highlight w:val="none"/>
        </w:rPr>
      </w:pPr>
      <w:r>
        <w:rPr>
          <w:rFonts w:hint="eastAsia"/>
          <w:color w:val="auto"/>
          <w:highlight w:val="none"/>
        </w:rPr>
        <w:t>11.4 单位负责人为同一人或者存在直接控股、管理关系的不同参选人，不得参加同一合同项下的采购活动。</w:t>
      </w:r>
    </w:p>
    <w:p>
      <w:pPr>
        <w:ind w:firstLine="480"/>
        <w:rPr>
          <w:color w:val="auto"/>
          <w:highlight w:val="none"/>
        </w:rPr>
      </w:pPr>
      <w:r>
        <w:rPr>
          <w:rFonts w:hint="eastAsia"/>
          <w:color w:val="auto"/>
          <w:highlight w:val="none"/>
        </w:rPr>
        <w:t xml:space="preserve">11.5 </w:t>
      </w:r>
      <w:r>
        <w:rPr>
          <w:color w:val="auto"/>
          <w:highlight w:val="none"/>
        </w:rPr>
        <w:t>同一分包的软件，制造商参与参选，再委托代理商参与参选的</w:t>
      </w:r>
      <w:r>
        <w:rPr>
          <w:rFonts w:hint="eastAsia"/>
          <w:color w:val="auto"/>
          <w:highlight w:val="none"/>
        </w:rPr>
        <w:t>。</w:t>
      </w:r>
    </w:p>
    <w:p>
      <w:pPr>
        <w:ind w:firstLine="480"/>
        <w:rPr>
          <w:color w:val="auto"/>
          <w:highlight w:val="none"/>
        </w:rPr>
      </w:pPr>
      <w:r>
        <w:rPr>
          <w:rFonts w:hint="eastAsia"/>
          <w:color w:val="auto"/>
          <w:highlight w:val="none"/>
        </w:rPr>
        <w:t xml:space="preserve">11.6 </w:t>
      </w:r>
      <w:r>
        <w:rPr>
          <w:color w:val="auto"/>
          <w:highlight w:val="none"/>
        </w:rPr>
        <w:t>参选文件不满足比选文件第</w:t>
      </w:r>
      <w:r>
        <w:rPr>
          <w:rFonts w:hint="eastAsia"/>
          <w:color w:val="auto"/>
          <w:highlight w:val="none"/>
        </w:rPr>
        <w:t>六</w:t>
      </w:r>
      <w:r>
        <w:rPr>
          <w:color w:val="auto"/>
          <w:highlight w:val="none"/>
        </w:rPr>
        <w:t>章参选文件格式中所规定签字、盖章的</w:t>
      </w:r>
      <w:r>
        <w:rPr>
          <w:rFonts w:hint="eastAsia"/>
          <w:color w:val="auto"/>
          <w:highlight w:val="none"/>
        </w:rPr>
        <w:t>。</w:t>
      </w:r>
    </w:p>
    <w:p>
      <w:pPr>
        <w:ind w:firstLine="480"/>
        <w:rPr>
          <w:color w:val="auto"/>
          <w:highlight w:val="none"/>
        </w:rPr>
      </w:pPr>
      <w:r>
        <w:rPr>
          <w:rFonts w:hint="eastAsia"/>
          <w:color w:val="auto"/>
          <w:highlight w:val="none"/>
        </w:rPr>
        <w:t xml:space="preserve">11.7 </w:t>
      </w:r>
      <w:r>
        <w:rPr>
          <w:color w:val="auto"/>
          <w:highlight w:val="none"/>
        </w:rPr>
        <w:t>参选文件出现多个参选方案或参选报价的</w:t>
      </w:r>
      <w:r>
        <w:rPr>
          <w:rFonts w:hint="eastAsia"/>
          <w:color w:val="auto"/>
          <w:highlight w:val="none"/>
        </w:rPr>
        <w:t>。</w:t>
      </w:r>
    </w:p>
    <w:p>
      <w:pPr>
        <w:ind w:firstLine="480"/>
        <w:rPr>
          <w:color w:val="auto"/>
          <w:highlight w:val="none"/>
        </w:rPr>
      </w:pPr>
      <w:r>
        <w:rPr>
          <w:rFonts w:hint="eastAsia"/>
          <w:color w:val="auto"/>
          <w:highlight w:val="none"/>
        </w:rPr>
        <w:t xml:space="preserve">11.8 </w:t>
      </w:r>
      <w:r>
        <w:rPr>
          <w:color w:val="auto"/>
          <w:highlight w:val="none"/>
        </w:rPr>
        <w:t>参选报价超出最高限价的</w:t>
      </w:r>
      <w:r>
        <w:rPr>
          <w:rFonts w:hint="eastAsia"/>
          <w:color w:val="auto"/>
          <w:highlight w:val="none"/>
        </w:rPr>
        <w:t>。</w:t>
      </w:r>
    </w:p>
    <w:p>
      <w:pPr>
        <w:ind w:firstLine="480"/>
        <w:rPr>
          <w:color w:val="auto"/>
          <w:highlight w:val="none"/>
        </w:rPr>
      </w:pPr>
      <w:r>
        <w:rPr>
          <w:rFonts w:hint="eastAsia"/>
          <w:color w:val="auto"/>
          <w:highlight w:val="none"/>
        </w:rPr>
        <w:t xml:space="preserve">11.9 </w:t>
      </w:r>
      <w:r>
        <w:rPr>
          <w:color w:val="auto"/>
          <w:highlight w:val="none"/>
        </w:rPr>
        <w:t>参选文件含有违反国家法律、法规的内容，或附有比选人不能接受的条件的。</w:t>
      </w:r>
    </w:p>
    <w:p>
      <w:pPr>
        <w:ind w:firstLine="480"/>
        <w:rPr>
          <w:color w:val="auto"/>
          <w:highlight w:val="none"/>
        </w:rPr>
      </w:pPr>
      <w:r>
        <w:rPr>
          <w:rFonts w:hint="eastAsia"/>
          <w:color w:val="auto"/>
          <w:highlight w:val="none"/>
        </w:rPr>
        <w:t>11.10 出现影响比选公正的违法、违规行为的。</w:t>
      </w:r>
    </w:p>
    <w:p>
      <w:pPr>
        <w:ind w:firstLine="480"/>
        <w:rPr>
          <w:color w:val="auto"/>
          <w:highlight w:val="none"/>
        </w:rPr>
      </w:pPr>
      <w:r>
        <w:rPr>
          <w:rFonts w:hint="eastAsia"/>
          <w:color w:val="auto"/>
          <w:highlight w:val="none"/>
        </w:rPr>
        <w:t>11.11 与比选人、评审专家、其他参选人恶意串通。</w:t>
      </w:r>
    </w:p>
    <w:p>
      <w:pPr>
        <w:ind w:firstLine="480"/>
        <w:rPr>
          <w:color w:val="auto"/>
          <w:highlight w:val="none"/>
        </w:rPr>
      </w:pPr>
      <w:r>
        <w:rPr>
          <w:rFonts w:hint="eastAsia"/>
          <w:color w:val="auto"/>
          <w:highlight w:val="none"/>
        </w:rPr>
        <w:t>11.12 参选法人发生合并、分立、破产等重大变化后，不再具备比选要求的资格条件的。</w:t>
      </w:r>
    </w:p>
    <w:p>
      <w:pPr>
        <w:ind w:firstLine="480"/>
        <w:rPr>
          <w:color w:val="auto"/>
          <w:highlight w:val="none"/>
        </w:rPr>
      </w:pPr>
      <w:r>
        <w:rPr>
          <w:rFonts w:hint="eastAsia"/>
          <w:color w:val="auto"/>
          <w:highlight w:val="none"/>
        </w:rPr>
        <w:t>11.13 提供虚假材料谋取中选资格的。</w:t>
      </w:r>
    </w:p>
    <w:p>
      <w:pPr>
        <w:ind w:firstLine="480"/>
        <w:rPr>
          <w:color w:val="auto"/>
          <w:highlight w:val="none"/>
        </w:rPr>
      </w:pPr>
      <w:r>
        <w:rPr>
          <w:rFonts w:hint="eastAsia"/>
          <w:color w:val="auto"/>
          <w:highlight w:val="none"/>
        </w:rPr>
        <w:t>11.14 参选文件含有比选人不能接受的附件条件的。</w:t>
      </w:r>
    </w:p>
    <w:p>
      <w:pPr>
        <w:pStyle w:val="4"/>
        <w:rPr>
          <w:color w:val="auto"/>
          <w:highlight w:val="none"/>
        </w:rPr>
      </w:pPr>
      <w:r>
        <w:rPr>
          <w:rFonts w:hint="eastAsia"/>
          <w:color w:val="auto"/>
          <w:highlight w:val="none"/>
        </w:rPr>
        <w:t>12. 比选失败情形</w:t>
      </w:r>
    </w:p>
    <w:p>
      <w:pPr>
        <w:snapToGrid w:val="0"/>
        <w:spacing w:line="400" w:lineRule="exact"/>
        <w:ind w:firstLine="480"/>
        <w:rPr>
          <w:color w:val="auto"/>
          <w:highlight w:val="none"/>
        </w:rPr>
      </w:pPr>
      <w:r>
        <w:rPr>
          <w:rFonts w:hint="eastAsia"/>
          <w:color w:val="auto"/>
          <w:highlight w:val="none"/>
        </w:rPr>
        <w:t>出现以下情形本次比选失败：</w:t>
      </w:r>
    </w:p>
    <w:p>
      <w:pPr>
        <w:snapToGrid w:val="0"/>
        <w:spacing w:line="400" w:lineRule="exact"/>
        <w:ind w:firstLine="480"/>
        <w:rPr>
          <w:color w:val="auto"/>
          <w:highlight w:val="none"/>
        </w:rPr>
      </w:pPr>
      <w:r>
        <w:rPr>
          <w:rFonts w:hint="eastAsia"/>
          <w:color w:val="auto"/>
          <w:highlight w:val="none"/>
        </w:rPr>
        <w:t>12.1 比选截止时间止，参选人少于2个的。</w:t>
      </w:r>
    </w:p>
    <w:p>
      <w:pPr>
        <w:ind w:firstLine="480"/>
        <w:rPr>
          <w:color w:val="auto"/>
          <w:highlight w:val="none"/>
        </w:rPr>
      </w:pPr>
      <w:r>
        <w:rPr>
          <w:rFonts w:hint="eastAsia"/>
          <w:color w:val="auto"/>
          <w:highlight w:val="none"/>
        </w:rPr>
        <w:t>12.2 经评审委员会评审后否决所有参选的。</w:t>
      </w:r>
    </w:p>
    <w:p>
      <w:pPr>
        <w:pStyle w:val="4"/>
        <w:rPr>
          <w:color w:val="auto"/>
          <w:highlight w:val="none"/>
        </w:rPr>
      </w:pPr>
      <w:r>
        <w:rPr>
          <w:rFonts w:hint="eastAsia"/>
          <w:color w:val="auto"/>
          <w:highlight w:val="none"/>
        </w:rPr>
        <w:t>13. 终止</w:t>
      </w:r>
      <w:r>
        <w:rPr>
          <w:color w:val="auto"/>
          <w:highlight w:val="none"/>
        </w:rPr>
        <w:t>比选</w:t>
      </w:r>
      <w:bookmarkEnd w:id="39"/>
    </w:p>
    <w:p>
      <w:pPr>
        <w:ind w:firstLine="480"/>
        <w:rPr>
          <w:color w:val="auto"/>
          <w:highlight w:val="none"/>
        </w:rPr>
      </w:pPr>
      <w:r>
        <w:rPr>
          <w:rFonts w:hint="eastAsia"/>
          <w:color w:val="auto"/>
          <w:highlight w:val="none"/>
        </w:rPr>
        <w:t>13.1 因情况发生变化或其他原因造成该项目取消的，本次比选自动终止，双方互不承担责任，比选人无息退还参选保证金。</w:t>
      </w:r>
    </w:p>
    <w:p>
      <w:pPr>
        <w:ind w:firstLine="480"/>
        <w:rPr>
          <w:color w:val="auto"/>
          <w:highlight w:val="none"/>
        </w:rPr>
      </w:pPr>
      <w:r>
        <w:rPr>
          <w:rFonts w:hint="eastAsia"/>
          <w:color w:val="auto"/>
          <w:highlight w:val="none"/>
        </w:rPr>
        <w:t>13.2 签订合同之前，比选人发现中选候选人经营、财务状况发生较大变化或存在违法行为，比选人认为可能影响其履约能力的，比选人可废除中选人或中选候选人资格。</w:t>
      </w:r>
    </w:p>
    <w:p>
      <w:pPr>
        <w:pStyle w:val="4"/>
        <w:rPr>
          <w:color w:val="auto"/>
          <w:highlight w:val="none"/>
        </w:rPr>
      </w:pPr>
      <w:r>
        <w:rPr>
          <w:rFonts w:hint="eastAsia"/>
          <w:color w:val="auto"/>
          <w:highlight w:val="none"/>
        </w:rPr>
        <w:t xml:space="preserve">14. </w:t>
      </w:r>
      <w:r>
        <w:rPr>
          <w:color w:val="auto"/>
          <w:highlight w:val="none"/>
        </w:rPr>
        <w:t>参选</w:t>
      </w:r>
      <w:r>
        <w:rPr>
          <w:rFonts w:hint="eastAsia"/>
          <w:color w:val="auto"/>
          <w:highlight w:val="none"/>
        </w:rPr>
        <w:t>费用</w:t>
      </w:r>
    </w:p>
    <w:p>
      <w:pPr>
        <w:ind w:firstLine="480"/>
        <w:rPr>
          <w:color w:val="auto"/>
          <w:highlight w:val="none"/>
        </w:rPr>
      </w:pPr>
      <w:r>
        <w:rPr>
          <w:rFonts w:hint="eastAsia"/>
          <w:color w:val="auto"/>
          <w:highlight w:val="none"/>
        </w:rPr>
        <w:t>参选人参与本比选项目时，一切与参选有关的费用均由参选人自理。</w:t>
      </w:r>
    </w:p>
    <w:p>
      <w:pPr>
        <w:ind w:firstLine="480"/>
        <w:rPr>
          <w:color w:val="auto"/>
          <w:highlight w:val="none"/>
        </w:rPr>
      </w:pPr>
      <w:r>
        <w:rPr>
          <w:rFonts w:hint="eastAsia"/>
          <w:color w:val="auto"/>
          <w:highlight w:val="none"/>
        </w:rPr>
        <w:t>本项目平台服务费为</w:t>
      </w:r>
      <w:r>
        <w:rPr>
          <w:rFonts w:hint="eastAsia"/>
          <w:color w:val="auto"/>
          <w:highlight w:val="none"/>
          <w:u w:val="single"/>
        </w:rPr>
        <w:t xml:space="preserve"> 8000.00元 </w:t>
      </w:r>
      <w:r>
        <w:rPr>
          <w:rFonts w:hint="eastAsia"/>
          <w:color w:val="auto"/>
          <w:highlight w:val="none"/>
        </w:rPr>
        <w:t>，由中选人向重庆联合产权交易所集团股份有限公司支付。中选人应在领取中选通知书时一次性缴纳，请各参选人综合考虑进行报价。</w:t>
      </w:r>
    </w:p>
    <w:p>
      <w:pPr>
        <w:widowControl/>
        <w:ind w:firstLine="480"/>
        <w:jc w:val="left"/>
        <w:rPr>
          <w:rFonts w:ascii="宋体" w:hAnsi="宋体" w:cs="Cambria"/>
          <w:snapToGrid w:val="0"/>
          <w:color w:val="auto"/>
          <w:kern w:val="0"/>
          <w:szCs w:val="28"/>
        </w:rPr>
      </w:pPr>
      <w:r>
        <w:rPr>
          <w:rFonts w:ascii="宋体" w:hAnsi="宋体" w:cs="Cambria"/>
          <w:snapToGrid w:val="0"/>
          <w:color w:val="auto"/>
          <w:kern w:val="0"/>
          <w:szCs w:val="28"/>
        </w:rPr>
        <w:br w:type="page"/>
      </w:r>
    </w:p>
    <w:p>
      <w:pPr>
        <w:pStyle w:val="3"/>
        <w:rPr>
          <w:color w:val="auto"/>
        </w:rPr>
      </w:pPr>
      <w:bookmarkStart w:id="46" w:name="_Toc21418"/>
      <w:r>
        <w:rPr>
          <w:rFonts w:hint="eastAsia"/>
          <w:color w:val="auto"/>
        </w:rPr>
        <w:t>第三章 项目要求</w:t>
      </w:r>
      <w:bookmarkEnd w:id="46"/>
    </w:p>
    <w:p>
      <w:pPr>
        <w:pStyle w:val="4"/>
        <w:rPr>
          <w:color w:val="auto"/>
        </w:rPr>
      </w:pPr>
      <w:r>
        <w:rPr>
          <w:rFonts w:hint="eastAsia"/>
          <w:color w:val="auto"/>
        </w:rPr>
        <w:t>1. 总体要求</w:t>
      </w:r>
    </w:p>
    <w:p>
      <w:pPr>
        <w:ind w:firstLine="480"/>
        <w:rPr>
          <w:color w:val="auto"/>
        </w:rPr>
      </w:pPr>
      <w:r>
        <w:rPr>
          <w:rFonts w:hint="eastAsia"/>
          <w:color w:val="auto"/>
        </w:rPr>
        <w:t>1.1 参选人应对本比选文件及其它相关比选材料加以综合理解，如</w:t>
      </w:r>
      <w:r>
        <w:rPr>
          <w:color w:val="auto"/>
        </w:rPr>
        <w:t>本章第</w:t>
      </w:r>
      <w:r>
        <w:rPr>
          <w:rFonts w:hint="eastAsia"/>
          <w:color w:val="auto"/>
        </w:rPr>
        <w:t xml:space="preserve">3. </w:t>
      </w:r>
      <w:r>
        <w:rPr>
          <w:color w:val="auto"/>
        </w:rPr>
        <w:t>条技术要求中</w:t>
      </w:r>
      <w:r>
        <w:rPr>
          <w:rFonts w:hint="eastAsia"/>
          <w:color w:val="auto"/>
        </w:rPr>
        <w:t>参照的标准与参选人所执行的标准发生矛盾时，参选人应以要求更严、性能更高、功能更全者为准。</w:t>
      </w:r>
    </w:p>
    <w:p>
      <w:pPr>
        <w:ind w:firstLine="480"/>
        <w:rPr>
          <w:color w:val="auto"/>
        </w:rPr>
      </w:pPr>
      <w:r>
        <w:rPr>
          <w:rFonts w:hint="eastAsia"/>
          <w:color w:val="auto"/>
        </w:rPr>
        <w:t>1.2 合同或本比选文件中未作规定者，或是比选人没有明确给出的信息，参选人应按中国法律法规、标准规范和相关行业规则等执行。</w:t>
      </w:r>
    </w:p>
    <w:p>
      <w:pPr>
        <w:ind w:firstLine="480"/>
        <w:rPr>
          <w:color w:val="auto"/>
        </w:rPr>
      </w:pPr>
      <w:r>
        <w:rPr>
          <w:rFonts w:hint="eastAsia"/>
          <w:color w:val="auto"/>
        </w:rPr>
        <w:t xml:space="preserve">1.3 </w:t>
      </w:r>
      <w:r>
        <w:rPr>
          <w:color w:val="auto"/>
        </w:rPr>
        <w:t>参选人提供的一切资料均应以中文为准，如果因为语言误差造成的损失由参选人负责。</w:t>
      </w:r>
    </w:p>
    <w:p>
      <w:pPr>
        <w:ind w:firstLine="480"/>
        <w:rPr>
          <w:color w:val="auto"/>
        </w:rPr>
      </w:pPr>
      <w:r>
        <w:rPr>
          <w:rFonts w:hint="eastAsia"/>
          <w:color w:val="auto"/>
        </w:rPr>
        <w:t xml:space="preserve">1.4 </w:t>
      </w:r>
      <w:r>
        <w:rPr>
          <w:color w:val="auto"/>
        </w:rPr>
        <w:t>设备上架过程涉及的低值易耗品所产生的费用由本项目中选方支付。</w:t>
      </w:r>
    </w:p>
    <w:p>
      <w:pPr>
        <w:ind w:firstLine="480"/>
        <w:rPr>
          <w:color w:val="auto"/>
        </w:rPr>
      </w:pPr>
      <w:r>
        <w:rPr>
          <w:rFonts w:hint="eastAsia"/>
          <w:color w:val="auto"/>
        </w:rPr>
        <w:t xml:space="preserve">1.5 </w:t>
      </w:r>
      <w:r>
        <w:rPr>
          <w:color w:val="auto"/>
        </w:rPr>
        <w:t>项目设备到货周期为</w:t>
      </w:r>
      <w:r>
        <w:rPr>
          <w:rFonts w:hint="eastAsia"/>
          <w:color w:val="auto"/>
        </w:rPr>
        <w:t>合同签订完成之日起计算，不</w:t>
      </w:r>
      <w:r>
        <w:rPr>
          <w:color w:val="auto"/>
        </w:rPr>
        <w:t>超过45个自然日。</w:t>
      </w:r>
    </w:p>
    <w:p>
      <w:pPr>
        <w:pStyle w:val="4"/>
        <w:rPr>
          <w:color w:val="auto"/>
        </w:rPr>
      </w:pPr>
      <w:r>
        <w:rPr>
          <w:rFonts w:hint="eastAsia"/>
          <w:color w:val="auto"/>
        </w:rPr>
        <w:t>2. 设备要求</w:t>
      </w:r>
    </w:p>
    <w:p>
      <w:pPr>
        <w:pStyle w:val="5"/>
        <w:ind w:firstLine="482"/>
        <w:rPr>
          <w:color w:val="auto"/>
        </w:rPr>
      </w:pPr>
      <w:r>
        <w:rPr>
          <w:rFonts w:hint="eastAsia"/>
          <w:color w:val="auto"/>
        </w:rPr>
        <w:t>2.1 设备要求</w:t>
      </w:r>
    </w:p>
    <w:p>
      <w:pPr>
        <w:ind w:firstLine="480"/>
        <w:rPr>
          <w:color w:val="auto"/>
        </w:rPr>
      </w:pPr>
      <w:r>
        <w:rPr>
          <w:rFonts w:hint="eastAsia"/>
          <w:color w:val="auto"/>
        </w:rPr>
        <w:t xml:space="preserve">2.1.1 </w:t>
      </w:r>
      <w:r>
        <w:rPr>
          <w:color w:val="auto"/>
        </w:rPr>
        <w:t>应具有合理的兼容性，</w:t>
      </w:r>
      <w:r>
        <w:rPr>
          <w:rFonts w:hint="eastAsia"/>
          <w:color w:val="auto"/>
        </w:rPr>
        <w:t>满足</w:t>
      </w:r>
      <w:r>
        <w:rPr>
          <w:color w:val="auto"/>
        </w:rPr>
        <w:t>与</w:t>
      </w:r>
      <w:r>
        <w:rPr>
          <w:rFonts w:hint="eastAsia"/>
          <w:color w:val="auto"/>
        </w:rPr>
        <w:t>市场主流</w:t>
      </w:r>
      <w:r>
        <w:rPr>
          <w:color w:val="auto"/>
        </w:rPr>
        <w:t>软、硬件</w:t>
      </w:r>
      <w:r>
        <w:rPr>
          <w:rFonts w:hint="eastAsia"/>
          <w:color w:val="auto"/>
        </w:rPr>
        <w:t>产品的兼容</w:t>
      </w:r>
      <w:r>
        <w:rPr>
          <w:color w:val="auto"/>
        </w:rPr>
        <w:t>，能够与比选人现有IT架构、资源、环境的完全兼容</w:t>
      </w:r>
      <w:r>
        <w:rPr>
          <w:rFonts w:hint="eastAsia"/>
          <w:color w:val="auto"/>
        </w:rPr>
        <w:t>；</w:t>
      </w:r>
    </w:p>
    <w:p>
      <w:pPr>
        <w:ind w:firstLine="480"/>
        <w:rPr>
          <w:color w:val="auto"/>
        </w:rPr>
      </w:pPr>
      <w:r>
        <w:rPr>
          <w:rFonts w:hint="eastAsia"/>
          <w:color w:val="auto"/>
        </w:rPr>
        <w:t xml:space="preserve">2.1.2 </w:t>
      </w:r>
      <w:r>
        <w:rPr>
          <w:rFonts w:hint="eastAsia"/>
          <w:color w:val="auto"/>
          <w:lang w:val="en-US" w:eastAsia="zh-CN"/>
        </w:rPr>
        <w:t>如供应商参选，应获得原厂授权并</w:t>
      </w:r>
      <w:r>
        <w:rPr>
          <w:rFonts w:hint="eastAsia"/>
          <w:color w:val="auto"/>
        </w:rPr>
        <w:t>保证所</w:t>
      </w:r>
      <w:r>
        <w:rPr>
          <w:color w:val="auto"/>
        </w:rPr>
        <w:t>提供</w:t>
      </w:r>
      <w:r>
        <w:rPr>
          <w:rFonts w:hint="eastAsia"/>
          <w:color w:val="auto"/>
        </w:rPr>
        <w:t>设备均为原厂正规渠道行货，供货商需提供原厂参选授权函。【提供原厂参选授权函】</w:t>
      </w:r>
    </w:p>
    <w:p>
      <w:pPr>
        <w:ind w:firstLine="480"/>
        <w:rPr>
          <w:color w:val="auto"/>
        </w:rPr>
      </w:pPr>
      <w:r>
        <w:rPr>
          <w:rFonts w:hint="eastAsia"/>
          <w:color w:val="auto"/>
        </w:rPr>
        <w:t>2.1.3 保证所提供设备均非第三方白盒安装厂商软件组合性形态产品、非贴牌厂商产品。</w:t>
      </w:r>
    </w:p>
    <w:p>
      <w:pPr>
        <w:pStyle w:val="5"/>
        <w:ind w:firstLine="482"/>
        <w:rPr>
          <w:color w:val="auto"/>
        </w:rPr>
      </w:pPr>
      <w:r>
        <w:rPr>
          <w:rFonts w:hint="eastAsia"/>
          <w:color w:val="auto"/>
        </w:rPr>
        <w:t>2.2 下列技术要求是对比选设备的关键性描述，参选人必须严格遵守：</w:t>
      </w:r>
    </w:p>
    <w:p>
      <w:pPr>
        <w:ind w:firstLine="480"/>
        <w:rPr>
          <w:color w:val="auto"/>
        </w:rPr>
      </w:pPr>
      <w:r>
        <w:rPr>
          <w:rFonts w:hint="eastAsia"/>
          <w:color w:val="auto"/>
        </w:rPr>
        <w:t>2.2.1. 先进性：技术选择考虑先进性，即采用业界先进的、主流技术来进行设计。</w:t>
      </w:r>
    </w:p>
    <w:p>
      <w:pPr>
        <w:ind w:firstLine="480"/>
        <w:rPr>
          <w:color w:val="auto"/>
        </w:rPr>
      </w:pPr>
      <w:r>
        <w:rPr>
          <w:rFonts w:hint="eastAsia"/>
          <w:color w:val="auto"/>
        </w:rPr>
        <w:t>2.2.2. 成熟性：采用成熟的技术及成熟产品和经过工程实践检验的先进技术。</w:t>
      </w:r>
    </w:p>
    <w:p>
      <w:pPr>
        <w:ind w:firstLine="480"/>
        <w:rPr>
          <w:color w:val="auto"/>
        </w:rPr>
      </w:pPr>
      <w:r>
        <w:rPr>
          <w:rFonts w:hint="eastAsia"/>
          <w:color w:val="auto"/>
        </w:rPr>
        <w:t>2.2.3. 开放性：系统采用开放的技术标准，保证将来交互平台的延展使用。</w:t>
      </w:r>
    </w:p>
    <w:p>
      <w:pPr>
        <w:ind w:firstLine="480"/>
        <w:rPr>
          <w:color w:val="auto"/>
        </w:rPr>
      </w:pPr>
      <w:r>
        <w:rPr>
          <w:rFonts w:hint="eastAsia"/>
          <w:color w:val="auto"/>
        </w:rPr>
        <w:t>2.2.4. 标准化：系统采用标准化的设计和标准化的主流产品。</w:t>
      </w:r>
    </w:p>
    <w:p>
      <w:pPr>
        <w:ind w:firstLine="480"/>
        <w:rPr>
          <w:color w:val="auto"/>
        </w:rPr>
      </w:pPr>
      <w:r>
        <w:rPr>
          <w:rFonts w:hint="eastAsia"/>
          <w:color w:val="auto"/>
        </w:rPr>
        <w:t>2.2.5. 可扩展性：本次设备采购充分考虑未来3</w:t>
      </w:r>
      <w:r>
        <w:rPr>
          <w:color w:val="auto"/>
        </w:rPr>
        <w:t>至5</w:t>
      </w:r>
      <w:r>
        <w:rPr>
          <w:rFonts w:hint="eastAsia"/>
          <w:color w:val="auto"/>
        </w:rPr>
        <w:t>年的发展，为将来的扩展留有余地。</w:t>
      </w:r>
    </w:p>
    <w:p>
      <w:pPr>
        <w:ind w:firstLine="480"/>
        <w:rPr>
          <w:color w:val="auto"/>
        </w:rPr>
      </w:pPr>
      <w:r>
        <w:rPr>
          <w:rFonts w:hint="eastAsia"/>
          <w:color w:val="auto"/>
        </w:rPr>
        <w:t>2.2.6. 安全性及可靠性：包括系统自身安全和信息传递的安全。</w:t>
      </w:r>
    </w:p>
    <w:p>
      <w:pPr>
        <w:ind w:firstLine="480"/>
        <w:rPr>
          <w:color w:val="auto"/>
        </w:rPr>
      </w:pPr>
      <w:r>
        <w:rPr>
          <w:rFonts w:hint="eastAsia"/>
          <w:color w:val="auto"/>
        </w:rPr>
        <w:t>2.2.7. 信创要求：CPU芯片以及转发芯片必须满足信创要求，需提供芯片厂商、规格型号、图片的详细说明，</w:t>
      </w:r>
      <w:r>
        <w:rPr>
          <w:color w:val="auto"/>
        </w:rPr>
        <w:t>出具</w:t>
      </w:r>
      <w:r>
        <w:rPr>
          <w:rFonts w:hint="eastAsia"/>
          <w:color w:val="auto"/>
        </w:rPr>
        <w:t>芯片的检测报告复印件加盖制造商公章。操作系统为国产操作系统，并提供操作系统的第三方检测机构报告。</w:t>
      </w:r>
    </w:p>
    <w:p>
      <w:pPr>
        <w:ind w:firstLine="480"/>
        <w:rPr>
          <w:color w:val="auto"/>
        </w:rPr>
      </w:pPr>
      <w:r>
        <w:rPr>
          <w:rFonts w:hint="eastAsia"/>
          <w:color w:val="auto"/>
        </w:rPr>
        <w:t>【提供：1. 芯片厂商、规格型号、图片的详细说明；2. 芯片的检测报告复印件加盖制造商公章；3. 操作系统的第三方检测机构报告。】</w:t>
      </w:r>
    </w:p>
    <w:p>
      <w:pPr>
        <w:pStyle w:val="5"/>
        <w:ind w:firstLine="482"/>
        <w:rPr>
          <w:color w:val="auto"/>
        </w:rPr>
      </w:pPr>
      <w:r>
        <w:rPr>
          <w:rFonts w:hint="eastAsia"/>
          <w:color w:val="auto"/>
        </w:rPr>
        <w:t>2.3 售后服务要求</w:t>
      </w:r>
    </w:p>
    <w:p>
      <w:pPr>
        <w:ind w:firstLine="480"/>
        <w:rPr>
          <w:color w:val="auto"/>
        </w:rPr>
      </w:pPr>
      <w:r>
        <w:rPr>
          <w:rFonts w:hint="eastAsia"/>
          <w:color w:val="auto"/>
          <w:lang w:val="en-US" w:eastAsia="zh-CN"/>
        </w:rPr>
        <w:t xml:space="preserve">2.3.1 </w:t>
      </w:r>
      <w:r>
        <w:rPr>
          <w:rFonts w:hint="eastAsia"/>
          <w:color w:val="auto"/>
        </w:rPr>
        <w:t>无论是厂商直接参与比选还是代理商参与比选，原制造商提供的售后服务承诺函内容均须包含以下条件：</w:t>
      </w:r>
    </w:p>
    <w:p>
      <w:pPr>
        <w:ind w:firstLine="480"/>
        <w:rPr>
          <w:color w:val="auto"/>
        </w:rPr>
      </w:pPr>
      <w:r>
        <w:rPr>
          <w:rFonts w:hint="eastAsia"/>
          <w:color w:val="auto"/>
        </w:rPr>
        <w:t>2.3.1</w:t>
      </w:r>
      <w:r>
        <w:rPr>
          <w:rFonts w:hint="eastAsia"/>
          <w:color w:val="auto"/>
          <w:lang w:val="en-US" w:eastAsia="zh-CN"/>
        </w:rPr>
        <w:t>.1</w:t>
      </w:r>
      <w:r>
        <w:rPr>
          <w:rFonts w:hint="eastAsia"/>
          <w:color w:val="auto"/>
        </w:rPr>
        <w:t xml:space="preserve"> 若在合同执行期内因设备制造商的型号发生正常迭代或部分配件正常升级等情况时，不得以任何理由中断或拒绝供货；</w:t>
      </w:r>
    </w:p>
    <w:p>
      <w:pPr>
        <w:ind w:firstLine="480"/>
        <w:rPr>
          <w:color w:val="auto"/>
        </w:rPr>
      </w:pPr>
      <w:r>
        <w:rPr>
          <w:rFonts w:hint="eastAsia"/>
          <w:color w:val="auto"/>
        </w:rPr>
        <w:t>2.3.</w:t>
      </w:r>
      <w:r>
        <w:rPr>
          <w:rFonts w:hint="eastAsia"/>
          <w:color w:val="auto"/>
          <w:lang w:val="en-US" w:eastAsia="zh-CN"/>
        </w:rPr>
        <w:t>1.2</w:t>
      </w:r>
      <w:r>
        <w:rPr>
          <w:rFonts w:hint="eastAsia"/>
          <w:color w:val="auto"/>
        </w:rPr>
        <w:t xml:space="preserve"> 需提供原厂服务开通函或证明，维保开始时间从设备加电测试通过之日后起算；</w:t>
      </w:r>
    </w:p>
    <w:p>
      <w:pPr>
        <w:ind w:firstLine="480"/>
        <w:rPr>
          <w:color w:val="auto"/>
        </w:rPr>
      </w:pPr>
      <w:r>
        <w:rPr>
          <w:rFonts w:hint="eastAsia"/>
          <w:color w:val="auto"/>
        </w:rPr>
        <w:t>2.3.</w:t>
      </w:r>
      <w:r>
        <w:rPr>
          <w:rFonts w:hint="eastAsia"/>
          <w:color w:val="auto"/>
          <w:lang w:val="en-US" w:eastAsia="zh-CN"/>
        </w:rPr>
        <w:t>1.3</w:t>
      </w:r>
      <w:r>
        <w:rPr>
          <w:rFonts w:hint="eastAsia"/>
          <w:color w:val="auto"/>
        </w:rPr>
        <w:t xml:space="preserve"> 设备原厂硬件维保服务结束后，若续保7*24*4级别服务，单台设备维保费每年不超过</w:t>
      </w:r>
      <w:r>
        <w:rPr>
          <w:color w:val="auto"/>
        </w:rPr>
        <w:t>该</w:t>
      </w:r>
      <w:r>
        <w:rPr>
          <w:rFonts w:hint="eastAsia"/>
          <w:color w:val="auto"/>
        </w:rPr>
        <w:t>产品</w:t>
      </w:r>
      <w:r>
        <w:rPr>
          <w:color w:val="auto"/>
        </w:rPr>
        <w:t>中选价格</w:t>
      </w:r>
      <w:r>
        <w:rPr>
          <w:rFonts w:hint="eastAsia"/>
          <w:color w:val="auto"/>
        </w:rPr>
        <w:t>单价金额的10%</w:t>
      </w:r>
      <w:r>
        <w:rPr>
          <w:color w:val="auto"/>
        </w:rPr>
        <w:t>。</w:t>
      </w:r>
    </w:p>
    <w:p>
      <w:pPr>
        <w:ind w:firstLine="480"/>
        <w:rPr>
          <w:color w:val="auto"/>
        </w:rPr>
      </w:pPr>
      <w:r>
        <w:rPr>
          <w:rFonts w:hint="eastAsia"/>
          <w:color w:val="auto"/>
        </w:rPr>
        <w:t>【提供售后服务承诺函】</w:t>
      </w:r>
    </w:p>
    <w:p>
      <w:pPr>
        <w:ind w:firstLine="480"/>
        <w:rPr>
          <w:color w:val="auto"/>
        </w:rPr>
      </w:pPr>
      <w:r>
        <w:rPr>
          <w:rFonts w:hint="eastAsia"/>
          <w:color w:val="auto"/>
        </w:rPr>
        <w:t>2.3.</w:t>
      </w:r>
      <w:r>
        <w:rPr>
          <w:rFonts w:hint="eastAsia"/>
          <w:color w:val="auto"/>
          <w:lang w:val="en-US" w:eastAsia="zh-CN"/>
        </w:rPr>
        <w:t>2</w:t>
      </w:r>
      <w:r>
        <w:rPr>
          <w:rFonts w:hint="eastAsia"/>
          <w:color w:val="auto"/>
        </w:rPr>
        <w:t xml:space="preserve"> 参选人需</w:t>
      </w:r>
      <w:r>
        <w:rPr>
          <w:rFonts w:hint="eastAsia"/>
          <w:color w:val="auto"/>
          <w:lang w:val="en-US" w:eastAsia="zh-CN"/>
        </w:rPr>
        <w:t>提供</w:t>
      </w:r>
      <w:r>
        <w:rPr>
          <w:rFonts w:hint="eastAsia"/>
          <w:color w:val="auto"/>
        </w:rPr>
        <w:t>售后服务说明，</w:t>
      </w:r>
      <w:r>
        <w:rPr>
          <w:rFonts w:hint="eastAsia"/>
          <w:color w:val="auto"/>
          <w:lang w:val="en-US" w:eastAsia="zh-CN"/>
        </w:rPr>
        <w:t>内容应包含：</w:t>
      </w:r>
      <w:r>
        <w:rPr>
          <w:color w:val="auto"/>
        </w:rPr>
        <w:t>参选品牌在原厂</w:t>
      </w:r>
      <w:r>
        <w:rPr>
          <w:rFonts w:hint="eastAsia"/>
          <w:color w:val="auto"/>
        </w:rPr>
        <w:t>硬件维保服务</w:t>
      </w:r>
      <w:r>
        <w:rPr>
          <w:color w:val="auto"/>
        </w:rPr>
        <w:t>结束后，收费维护期的维保购买政策是否支持设备原厂商直接与比选人签订原厂硬件维保购买合同。</w:t>
      </w:r>
    </w:p>
    <w:p>
      <w:pPr>
        <w:ind w:firstLine="480"/>
        <w:rPr>
          <w:color w:val="auto"/>
        </w:rPr>
      </w:pPr>
      <w:r>
        <w:rPr>
          <w:rFonts w:hint="eastAsia"/>
          <w:color w:val="auto"/>
        </w:rPr>
        <w:t>【提供售后服务说明】</w:t>
      </w:r>
    </w:p>
    <w:p>
      <w:pPr>
        <w:pStyle w:val="4"/>
        <w:rPr>
          <w:color w:val="auto"/>
        </w:rPr>
      </w:pPr>
      <w:r>
        <w:rPr>
          <w:rFonts w:hint="eastAsia"/>
          <w:color w:val="auto"/>
        </w:rPr>
        <w:t xml:space="preserve">3. </w:t>
      </w:r>
      <w:r>
        <w:rPr>
          <w:color w:val="auto"/>
        </w:rPr>
        <w:t>技术</w:t>
      </w:r>
      <w:r>
        <w:rPr>
          <w:rFonts w:hint="eastAsia"/>
          <w:color w:val="auto"/>
        </w:rPr>
        <w:t>要求</w:t>
      </w:r>
    </w:p>
    <w:p>
      <w:pPr>
        <w:ind w:firstLine="480"/>
        <w:rPr>
          <w:color w:val="auto"/>
        </w:rPr>
      </w:pPr>
      <w:r>
        <w:rPr>
          <w:rFonts w:hint="eastAsia"/>
          <w:color w:val="auto"/>
        </w:rPr>
        <w:t>3.1 在本次比选中，参选人须保证所提供的软、硬件产品至少能达到下列相关指标要求。</w:t>
      </w:r>
    </w:p>
    <w:p>
      <w:pPr>
        <w:ind w:firstLine="480"/>
        <w:rPr>
          <w:color w:val="auto"/>
        </w:rPr>
      </w:pPr>
      <w:r>
        <w:rPr>
          <w:rFonts w:hint="eastAsia"/>
          <w:color w:val="auto"/>
        </w:rPr>
        <w:t>3.1.1 在不影响应用运行及改变系统架构前提下，能平滑过渡升级满足未来3</w:t>
      </w:r>
      <w:r>
        <w:rPr>
          <w:color w:val="auto"/>
        </w:rPr>
        <w:t>至</w:t>
      </w:r>
      <w:r>
        <w:rPr>
          <w:rFonts w:hint="eastAsia"/>
          <w:color w:val="auto"/>
        </w:rPr>
        <w:t>5年设备性能的需求。</w:t>
      </w:r>
    </w:p>
    <w:p>
      <w:pPr>
        <w:ind w:firstLine="480"/>
        <w:rPr>
          <w:rFonts w:hint="default" w:eastAsia="宋体"/>
          <w:color w:val="auto"/>
        </w:rPr>
      </w:pPr>
      <w:r>
        <w:rPr>
          <w:rFonts w:hint="eastAsia"/>
          <w:color w:val="auto"/>
        </w:rPr>
        <w:t>3.1.2 所有参选设备均</w:t>
      </w:r>
      <w:r>
        <w:rPr>
          <w:color w:val="auto"/>
        </w:rPr>
        <w:t>来自同一厂商，并</w:t>
      </w:r>
      <w:r>
        <w:rPr>
          <w:rFonts w:hint="eastAsia"/>
          <w:color w:val="auto"/>
        </w:rPr>
        <w:t>提供</w:t>
      </w:r>
      <w:r>
        <w:rPr>
          <w:color w:val="auto"/>
        </w:rPr>
        <w:t>不少于8</w:t>
      </w:r>
      <w:r>
        <w:rPr>
          <w:rFonts w:hint="eastAsia"/>
          <w:color w:val="auto"/>
        </w:rPr>
        <w:t>年</w:t>
      </w:r>
      <w:r>
        <w:rPr>
          <w:color w:val="auto"/>
        </w:rPr>
        <w:t>的</w:t>
      </w:r>
      <w:r>
        <w:rPr>
          <w:rFonts w:hint="eastAsia"/>
          <w:color w:val="auto"/>
        </w:rPr>
        <w:t>原厂维保服务</w:t>
      </w:r>
      <w:r>
        <w:rPr>
          <w:color w:val="auto"/>
        </w:rPr>
        <w:t>及设备7*24*4</w:t>
      </w:r>
      <w:r>
        <w:rPr>
          <w:rFonts w:hint="eastAsia"/>
          <w:color w:val="auto"/>
        </w:rPr>
        <w:t>原厂</w:t>
      </w:r>
      <w:r>
        <w:rPr>
          <w:color w:val="auto"/>
        </w:rPr>
        <w:t>响应</w:t>
      </w:r>
      <w:r>
        <w:rPr>
          <w:rFonts w:hint="eastAsia"/>
          <w:color w:val="auto"/>
        </w:rPr>
        <w:t>服务。（</w:t>
      </w:r>
      <w:r>
        <w:rPr>
          <w:rFonts w:hint="eastAsia"/>
          <w:color w:val="auto"/>
          <w:lang w:val="en-US" w:eastAsia="zh-CN"/>
        </w:rPr>
        <w:t>参选人应</w:t>
      </w:r>
      <w:r>
        <w:rPr>
          <w:rFonts w:hint="eastAsia"/>
          <w:color w:val="auto"/>
        </w:rPr>
        <w:t>在技术要求响应承诺函中承诺</w:t>
      </w:r>
      <w:r>
        <w:rPr>
          <w:rFonts w:hint="eastAsia"/>
          <w:color w:val="auto"/>
          <w:lang w:eastAsia="zh-CN"/>
        </w:rPr>
        <w:t>：</w:t>
      </w:r>
      <w:r>
        <w:rPr>
          <w:rFonts w:hint="eastAsia"/>
          <w:color w:val="auto"/>
        </w:rPr>
        <w:t>提供8年的原厂维保</w:t>
      </w:r>
      <w:r>
        <w:rPr>
          <w:rFonts w:hint="default" w:eastAsia="宋体"/>
          <w:color w:val="auto"/>
        </w:rPr>
        <w:t>服务及设备7*24*4原厂响应服务等内容）</w:t>
      </w:r>
    </w:p>
    <w:p>
      <w:pPr>
        <w:ind w:firstLine="480"/>
        <w:rPr>
          <w:rFonts w:eastAsia="宋体"/>
          <w:color w:val="auto"/>
        </w:rPr>
      </w:pPr>
      <w:r>
        <w:rPr>
          <w:rFonts w:hint="default" w:ascii="Cambria Math" w:hAnsi="Cambria Math" w:eastAsia="宋体" w:cs="Cambria Math"/>
          <w:color w:val="auto"/>
          <w:sz w:val="24"/>
          <w:szCs w:val="20"/>
        </w:rPr>
        <w:t>【提供技术要求响应承诺函】</w:t>
      </w:r>
    </w:p>
    <w:p>
      <w:pPr>
        <w:ind w:firstLine="480"/>
        <w:rPr>
          <w:color w:val="auto"/>
        </w:rPr>
      </w:pPr>
      <w:r>
        <w:rPr>
          <w:rFonts w:hint="eastAsia"/>
          <w:color w:val="auto"/>
        </w:rPr>
        <w:t>3.1.3 所有技术规格要求皆可正偏离。</w:t>
      </w:r>
    </w:p>
    <w:p>
      <w:pPr>
        <w:ind w:firstLine="480"/>
        <w:rPr>
          <w:color w:val="auto"/>
        </w:rPr>
      </w:pPr>
      <w:r>
        <w:rPr>
          <w:rFonts w:hint="eastAsia"/>
          <w:color w:val="auto"/>
        </w:rPr>
        <w:t>3.2 TAP交换机技术参数要求如下：</w:t>
      </w:r>
    </w:p>
    <w:tbl>
      <w:tblPr>
        <w:tblStyle w:val="18"/>
        <w:tblW w:w="0" w:type="auto"/>
        <w:tblInd w:w="0" w:type="dxa"/>
        <w:tblLayout w:type="fixed"/>
        <w:tblCellMar>
          <w:top w:w="0" w:type="dxa"/>
          <w:left w:w="108" w:type="dxa"/>
          <w:bottom w:w="0" w:type="dxa"/>
          <w:right w:w="108" w:type="dxa"/>
        </w:tblCellMar>
      </w:tblPr>
      <w:tblGrid>
        <w:gridCol w:w="706"/>
        <w:gridCol w:w="2156"/>
        <w:gridCol w:w="5292"/>
      </w:tblGrid>
      <w:tr>
        <w:tblPrEx>
          <w:tblCellMar>
            <w:top w:w="0" w:type="dxa"/>
            <w:left w:w="108" w:type="dxa"/>
            <w:bottom w:w="0" w:type="dxa"/>
            <w:right w:w="108" w:type="dxa"/>
          </w:tblCellMar>
        </w:tblPrEx>
        <w:trPr>
          <w:trHeight w:val="314" w:hRule="atLeast"/>
        </w:trPr>
        <w:tc>
          <w:tcPr>
            <w:tcW w:w="7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b/>
                <w:color w:val="auto"/>
                <w:sz w:val="21"/>
                <w:szCs w:val="21"/>
              </w:rPr>
              <w:t>需求类别</w:t>
            </w: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b/>
                <w:color w:val="auto"/>
                <w:sz w:val="21"/>
                <w:szCs w:val="21"/>
              </w:rPr>
              <w:t>功能项</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b/>
                <w:color w:val="auto"/>
                <w:sz w:val="21"/>
                <w:szCs w:val="21"/>
              </w:rPr>
              <w:t>要求</w:t>
            </w:r>
          </w:p>
        </w:tc>
      </w:tr>
      <w:tr>
        <w:tblPrEx>
          <w:tblCellMar>
            <w:top w:w="0" w:type="dxa"/>
            <w:left w:w="108" w:type="dxa"/>
            <w:bottom w:w="0" w:type="dxa"/>
            <w:right w:w="108" w:type="dxa"/>
          </w:tblCellMar>
        </w:tblPrEx>
        <w:trPr>
          <w:trHeight w:val="629" w:hRule="atLeast"/>
        </w:trPr>
        <w:tc>
          <w:tcPr>
            <w:tcW w:w="7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合规需求</w:t>
            </w: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信创</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CPU芯片以及转发芯片必须满足信创要求，需提供芯片厂商、规格型号、图片的详细说明，出具芯片的检测报告复印件加盖制造商公章。操作系统为国产操作系统，并提供操作系统的第三方检测机构报告。</w:t>
            </w:r>
          </w:p>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【提供：1. 芯片厂商、规格型号、图片的详细说明；2. 芯片的检测报告复印件加盖制造商公章；3. 操作系统的第三方检测机构报告。】</w:t>
            </w:r>
          </w:p>
        </w:tc>
      </w:tr>
      <w:tr>
        <w:tblPrEx>
          <w:tblCellMar>
            <w:top w:w="0" w:type="dxa"/>
            <w:left w:w="108" w:type="dxa"/>
            <w:bottom w:w="0" w:type="dxa"/>
            <w:right w:w="108" w:type="dxa"/>
          </w:tblCellMar>
        </w:tblPrEx>
        <w:trPr>
          <w:trHeight w:val="629" w:hRule="atLeast"/>
        </w:trPr>
        <w:tc>
          <w:tcPr>
            <w:tcW w:w="7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接口需求</w:t>
            </w: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业务接口数量</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100GE/40GE≥8；10GE/GE≥48；管理口≥1；console接口≥1。满配LC光模块。</w:t>
            </w:r>
          </w:p>
        </w:tc>
      </w:tr>
      <w:tr>
        <w:tblPrEx>
          <w:tblCellMar>
            <w:top w:w="0" w:type="dxa"/>
            <w:left w:w="108" w:type="dxa"/>
            <w:bottom w:w="0" w:type="dxa"/>
            <w:right w:w="108" w:type="dxa"/>
          </w:tblCellMar>
        </w:tblPrEx>
        <w:trPr>
          <w:trHeight w:val="314" w:hRule="atLeast"/>
        </w:trPr>
        <w:tc>
          <w:tcPr>
            <w:tcW w:w="70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功能需求</w:t>
            </w: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工作模式</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需支持复制、分流、过滤、汇聚等工作模式</w:t>
            </w:r>
          </w:p>
        </w:tc>
      </w:tr>
      <w:tr>
        <w:tblPrEx>
          <w:tblCellMar>
            <w:top w:w="0" w:type="dxa"/>
            <w:left w:w="108" w:type="dxa"/>
            <w:bottom w:w="0" w:type="dxa"/>
            <w:right w:w="108" w:type="dxa"/>
          </w:tblCellMar>
        </w:tblPrEx>
        <w:trPr>
          <w:trHeight w:val="629"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五元组汇聚分流</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需支持基于五元组的（源IP、目的IP、协议号、源端口、目的端口）的数据报文汇聚、分流、转发规则。</w:t>
            </w:r>
          </w:p>
        </w:tc>
      </w:tr>
      <w:tr>
        <w:tblPrEx>
          <w:tblCellMar>
            <w:top w:w="0" w:type="dxa"/>
            <w:left w:w="108" w:type="dxa"/>
            <w:bottom w:w="0" w:type="dxa"/>
            <w:right w:w="108" w:type="dxa"/>
          </w:tblCellMar>
        </w:tblPrEx>
        <w:trPr>
          <w:trHeight w:val="94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七元组汇聚分流</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需支持基于七元组的（源IP、目的IP、协议号、源端口、目的端口、物理端口、Vlan_ID）的数据报文汇聚、分流、转发规则。</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报文复制</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需支持输入报文多次复制</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规则生效</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需支持多规则联合生效</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规则命中统计</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需支持规则命中统计功能</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时间戳</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需支持在数据报文中打入纳秒级时间戳功能</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Vlan标识及修改</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支持端口Vlan标识及VLANID增删改操作</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报文去重</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支持报文去重功能</w:t>
            </w:r>
          </w:p>
        </w:tc>
      </w:tr>
      <w:tr>
        <w:tblPrEx>
          <w:tblCellMar>
            <w:top w:w="0" w:type="dxa"/>
            <w:left w:w="108" w:type="dxa"/>
            <w:bottom w:w="0" w:type="dxa"/>
            <w:right w:w="108" w:type="dxa"/>
          </w:tblCellMar>
        </w:tblPrEx>
        <w:trPr>
          <w:trHeight w:val="629"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报文去封装</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支持报文Vlan、MPLS、GRE、Vxlan、VN-tag、Fabric Path报文去封装功能</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报文截短/切片</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支持对报文长度进行报文截短/切片功能</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流量脱敏</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支持对报文内的敏感数据进行掩码处理</w:t>
            </w:r>
          </w:p>
        </w:tc>
      </w:tr>
      <w:tr>
        <w:tblPrEx>
          <w:tblCellMar>
            <w:top w:w="0" w:type="dxa"/>
            <w:left w:w="108" w:type="dxa"/>
            <w:bottom w:w="0" w:type="dxa"/>
            <w:right w:w="108" w:type="dxa"/>
          </w:tblCellMar>
        </w:tblPrEx>
        <w:trPr>
          <w:trHeight w:val="629"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隧道终结功能</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需支持GRE隧道终结功能、支持配置MAC和IP地址，支持ICMP响应</w:t>
            </w:r>
          </w:p>
        </w:tc>
      </w:tr>
      <w:tr>
        <w:tblPrEx>
          <w:tblCellMar>
            <w:top w:w="0" w:type="dxa"/>
            <w:left w:w="108" w:type="dxa"/>
            <w:bottom w:w="0" w:type="dxa"/>
            <w:right w:w="108" w:type="dxa"/>
          </w:tblCellMar>
        </w:tblPrEx>
        <w:trPr>
          <w:trHeight w:val="629"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关键字过滤</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需支持根据配置的关键字符串，对报文内容进行过滤功能</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支持最大规则数</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需最大规则数大于1万条。</w:t>
            </w:r>
          </w:p>
        </w:tc>
      </w:tr>
      <w:tr>
        <w:tblPrEx>
          <w:tblCellMar>
            <w:top w:w="0" w:type="dxa"/>
            <w:left w:w="108" w:type="dxa"/>
            <w:bottom w:w="0" w:type="dxa"/>
            <w:right w:w="108" w:type="dxa"/>
          </w:tblCellMar>
        </w:tblPrEx>
        <w:trPr>
          <w:trHeight w:val="629" w:hRule="atLeast"/>
        </w:trPr>
        <w:tc>
          <w:tcPr>
            <w:tcW w:w="7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性能</w:t>
            </w: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报文转发性能</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所有业务口均需支持线速报文转发，整机报文转发吞吐量应不低于800G</w:t>
            </w:r>
          </w:p>
        </w:tc>
      </w:tr>
      <w:tr>
        <w:tblPrEx>
          <w:tblCellMar>
            <w:top w:w="0" w:type="dxa"/>
            <w:left w:w="108" w:type="dxa"/>
            <w:bottom w:w="0" w:type="dxa"/>
            <w:right w:w="108" w:type="dxa"/>
          </w:tblCellMar>
        </w:tblPrEx>
        <w:trPr>
          <w:trHeight w:val="314" w:hRule="atLeast"/>
        </w:trPr>
        <w:tc>
          <w:tcPr>
            <w:tcW w:w="70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其他</w:t>
            </w:r>
          </w:p>
        </w:tc>
        <w:tc>
          <w:tcPr>
            <w:tcW w:w="215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left"/>
              <w:rPr>
                <w:rFonts w:ascii="宋体" w:hAnsi="宋体" w:cs="宋体"/>
                <w:color w:val="auto"/>
                <w:sz w:val="21"/>
                <w:szCs w:val="21"/>
              </w:rPr>
            </w:pPr>
            <w:r>
              <w:rPr>
                <w:rFonts w:hint="eastAsia" w:ascii="宋体" w:hAnsi="宋体" w:cs="宋体"/>
                <w:color w:val="auto"/>
                <w:sz w:val="21"/>
                <w:szCs w:val="21"/>
              </w:rPr>
              <w:t>硬件指标</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非第三方白盒安装厂商软件组合性形态产品</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非贴牌厂商产品</w:t>
            </w:r>
          </w:p>
        </w:tc>
      </w:tr>
      <w:tr>
        <w:tblPrEx>
          <w:tblCellMar>
            <w:top w:w="0" w:type="dxa"/>
            <w:left w:w="108" w:type="dxa"/>
            <w:bottom w:w="0" w:type="dxa"/>
            <w:right w:w="108" w:type="dxa"/>
          </w:tblCellMar>
        </w:tblPrEx>
        <w:trPr>
          <w:trHeight w:val="314"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操作系统与硬件设备须为同一厂家产品</w:t>
            </w:r>
          </w:p>
        </w:tc>
      </w:tr>
      <w:tr>
        <w:tblPrEx>
          <w:tblCellMar>
            <w:top w:w="0" w:type="dxa"/>
            <w:left w:w="108" w:type="dxa"/>
            <w:bottom w:w="0" w:type="dxa"/>
            <w:right w:w="108" w:type="dxa"/>
          </w:tblCellMar>
        </w:tblPrEx>
        <w:trPr>
          <w:trHeight w:val="1889" w:hRule="atLeast"/>
        </w:trPr>
        <w:tc>
          <w:tcPr>
            <w:tcW w:w="70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运维管理及故障处理</w:t>
            </w: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集中运维管理兼容性要求</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需提供参选产品对应管理工具，如需授权则要求永久授权，需兼容我行已有的TAP交换机，支持多设备组网集中管理、实现采集流量可视化需求、策略统一下发、数据分发策略自动寻路、流量来向去向可视化功能等。（在技术要求响应承诺函中承诺提供参选产品对应管理工具及永久授权等内容）【提供：1. 技术要求响应承诺函；2. 产品功能截图并加盖原厂公章】</w:t>
            </w:r>
          </w:p>
        </w:tc>
      </w:tr>
      <w:tr>
        <w:tblPrEx>
          <w:tblCellMar>
            <w:top w:w="0" w:type="dxa"/>
            <w:left w:w="108" w:type="dxa"/>
            <w:bottom w:w="0" w:type="dxa"/>
            <w:right w:w="108" w:type="dxa"/>
          </w:tblCellMar>
        </w:tblPrEx>
        <w:trPr>
          <w:trHeight w:val="1889" w:hRule="atLeast"/>
        </w:trPr>
        <w:tc>
          <w:tcPr>
            <w:tcW w:w="70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p>
        </w:tc>
        <w:tc>
          <w:tcPr>
            <w:tcW w:w="21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捕获报文多路径可视化要求</w:t>
            </w:r>
          </w:p>
        </w:tc>
        <w:tc>
          <w:tcPr>
            <w:tcW w:w="52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支持五元组过滤条件同时捕获并存储任意采集节点的报文流量，同时通过内置可视化模块展示同一重复数据包穿越不同网元节点的传输路径、传输时延、并分析数据包经过网元节点的处理过程（如NAT），提供相关数据协助运维人员进行快速故障定位。【提供产品功能截图并加盖原厂公章】</w:t>
            </w:r>
          </w:p>
        </w:tc>
      </w:tr>
    </w:tbl>
    <w:p>
      <w:pPr>
        <w:ind w:firstLine="480"/>
        <w:rPr>
          <w:rFonts w:hint="eastAsia" w:eastAsia="宋体"/>
          <w:color w:val="auto"/>
          <w:lang w:val="en-US" w:eastAsia="zh-CN"/>
        </w:rPr>
      </w:pPr>
      <w:r>
        <w:rPr>
          <w:rFonts w:hint="eastAsia"/>
          <w:color w:val="auto"/>
          <w:lang w:val="en-US" w:eastAsia="zh-CN"/>
        </w:rPr>
        <w:t>注：</w:t>
      </w:r>
      <w:r>
        <w:rPr>
          <w:rFonts w:hint="eastAsia"/>
          <w:color w:val="auto"/>
        </w:rPr>
        <w:t>TAP交换机技术参数</w:t>
      </w:r>
      <w:r>
        <w:rPr>
          <w:rFonts w:hint="eastAsia"/>
          <w:color w:val="auto"/>
          <w:lang w:val="en-US" w:eastAsia="zh-CN"/>
        </w:rPr>
        <w:t>中要求需全部满足，</w:t>
      </w:r>
      <w:r>
        <w:rPr>
          <w:rFonts w:hint="eastAsia"/>
          <w:color w:val="auto"/>
        </w:rPr>
        <w:t>可正偏离</w:t>
      </w:r>
      <w:r>
        <w:rPr>
          <w:rFonts w:hint="eastAsia"/>
          <w:color w:val="auto"/>
          <w:lang w:eastAsia="zh-CN"/>
        </w:rPr>
        <w:t>。</w:t>
      </w:r>
    </w:p>
    <w:p>
      <w:pPr>
        <w:ind w:firstLine="480"/>
        <w:rPr>
          <w:color w:val="auto"/>
        </w:rPr>
      </w:pPr>
      <w:r>
        <w:rPr>
          <w:rFonts w:hint="eastAsia"/>
          <w:color w:val="auto"/>
        </w:rPr>
        <w:t>【提供参数要求偏离表】</w:t>
      </w:r>
    </w:p>
    <w:p>
      <w:pPr>
        <w:ind w:firstLine="480"/>
        <w:rPr>
          <w:color w:val="auto"/>
        </w:rPr>
      </w:pPr>
      <w:r>
        <w:rPr>
          <w:rFonts w:hint="eastAsia"/>
          <w:color w:val="auto"/>
        </w:rPr>
        <w:t>3.3 比选人有权要求第一候选人在中选公示发出后5个工作日内提供佐证材料原件并对所投产品进行功能测试。第一候选人所投产品测试结果不能满足技术参数要求，却在响应文件中响应的，视为虚假参选。比选人有权拒绝与之签订合同，第一候选人须承担相应法律责任和因此行为给比选人造成的经济损失。</w:t>
      </w:r>
    </w:p>
    <w:p>
      <w:pPr>
        <w:pStyle w:val="4"/>
        <w:rPr>
          <w:color w:val="auto"/>
        </w:rPr>
      </w:pPr>
      <w:bookmarkStart w:id="47" w:name="_Toc89675144"/>
      <w:bookmarkStart w:id="48" w:name="_Toc15059418"/>
      <w:r>
        <w:rPr>
          <w:rFonts w:hint="eastAsia"/>
          <w:color w:val="auto"/>
        </w:rPr>
        <w:t>4. 交付周期、地点</w:t>
      </w:r>
      <w:bookmarkEnd w:id="47"/>
      <w:bookmarkEnd w:id="48"/>
    </w:p>
    <w:p>
      <w:pPr>
        <w:pStyle w:val="5"/>
        <w:ind w:firstLine="482"/>
        <w:rPr>
          <w:color w:val="auto"/>
        </w:rPr>
      </w:pPr>
      <w:bookmarkStart w:id="49" w:name="_Toc15059420"/>
      <w:bookmarkStart w:id="50" w:name="_Toc89675146"/>
      <w:bookmarkStart w:id="51" w:name="_Toc432254881"/>
      <w:bookmarkStart w:id="52" w:name="_Toc440628915"/>
      <w:bookmarkStart w:id="53" w:name="_Toc387826347"/>
      <w:bookmarkStart w:id="54" w:name="_Toc1125"/>
      <w:r>
        <w:rPr>
          <w:rFonts w:hint="eastAsia"/>
          <w:color w:val="auto"/>
        </w:rPr>
        <w:t>4.1 交付时间</w:t>
      </w:r>
    </w:p>
    <w:p>
      <w:pPr>
        <w:ind w:firstLine="480"/>
        <w:rPr>
          <w:color w:val="auto"/>
        </w:rPr>
      </w:pPr>
      <w:r>
        <w:rPr>
          <w:rFonts w:hint="eastAsia"/>
          <w:color w:val="auto"/>
        </w:rPr>
        <w:t>本项目设备的交付周期为45个自然日，原则上以合同签订完成之日起开始计算。</w:t>
      </w:r>
    </w:p>
    <w:p>
      <w:pPr>
        <w:pStyle w:val="5"/>
        <w:ind w:firstLine="482"/>
        <w:rPr>
          <w:color w:val="auto"/>
        </w:rPr>
      </w:pPr>
      <w:r>
        <w:rPr>
          <w:rFonts w:hint="eastAsia"/>
          <w:color w:val="auto"/>
        </w:rPr>
        <w:t>4.2 实施及交付地点</w:t>
      </w:r>
    </w:p>
    <w:p>
      <w:pPr>
        <w:ind w:firstLine="480"/>
        <w:rPr>
          <w:color w:val="auto"/>
        </w:rPr>
      </w:pPr>
      <w:r>
        <w:rPr>
          <w:rFonts w:hint="eastAsia"/>
          <w:color w:val="auto"/>
        </w:rPr>
        <w:t>重庆市。</w:t>
      </w:r>
    </w:p>
    <w:p>
      <w:pPr>
        <w:pStyle w:val="4"/>
        <w:rPr>
          <w:color w:val="auto"/>
        </w:rPr>
      </w:pPr>
      <w:r>
        <w:rPr>
          <w:rFonts w:hint="eastAsia"/>
          <w:color w:val="auto"/>
        </w:rPr>
        <w:t>5. 服务连续性预案</w:t>
      </w:r>
    </w:p>
    <w:p>
      <w:pPr>
        <w:ind w:firstLine="480"/>
        <w:rPr>
          <w:color w:val="auto"/>
        </w:rPr>
      </w:pPr>
      <w:r>
        <w:rPr>
          <w:rFonts w:hint="eastAsia"/>
          <w:color w:val="auto"/>
        </w:rPr>
        <w:t>在本次比选中，参选人应在参选文件中提供《服务连续性预案》供比选人查看，服务连续性预案应考虑供应链风险产生的影响。【提供服务连续性预案】</w:t>
      </w:r>
    </w:p>
    <w:p>
      <w:pPr>
        <w:pStyle w:val="4"/>
        <w:rPr>
          <w:color w:val="auto"/>
        </w:rPr>
      </w:pPr>
      <w:r>
        <w:rPr>
          <w:rFonts w:hint="eastAsia"/>
          <w:color w:val="auto"/>
        </w:rPr>
        <w:t>6. 项目实施方案</w:t>
      </w:r>
    </w:p>
    <w:p>
      <w:pPr>
        <w:ind w:firstLine="480"/>
        <w:rPr>
          <w:color w:val="auto"/>
        </w:rPr>
      </w:pPr>
      <w:r>
        <w:rPr>
          <w:rFonts w:hint="eastAsia"/>
          <w:color w:val="auto"/>
        </w:rPr>
        <w:t>在本次比选中，参选人应在参选文件中提供《项目实施方案》供比选人查看，方案应包括包括履行合同的时间计划、提交资料、人员安排等内容。【提供项目实施方案】</w:t>
      </w:r>
    </w:p>
    <w:p>
      <w:pPr>
        <w:pStyle w:val="4"/>
        <w:rPr>
          <w:color w:val="auto"/>
        </w:rPr>
      </w:pPr>
      <w:r>
        <w:rPr>
          <w:rFonts w:hint="eastAsia"/>
          <w:color w:val="auto"/>
        </w:rPr>
        <w:t>7. 售后服务和支持</w:t>
      </w:r>
      <w:bookmarkEnd w:id="49"/>
      <w:bookmarkEnd w:id="50"/>
    </w:p>
    <w:p>
      <w:pPr>
        <w:ind w:firstLine="480"/>
        <w:rPr>
          <w:color w:val="auto"/>
        </w:rPr>
      </w:pPr>
      <w:bookmarkStart w:id="55" w:name="_Toc15059422"/>
      <w:bookmarkStart w:id="56" w:name="_Toc89675148"/>
      <w:r>
        <w:rPr>
          <w:rFonts w:hint="eastAsia"/>
          <w:color w:val="auto"/>
        </w:rPr>
        <w:t>该项目涉及售后服务，需增加售后服务和支持章节，参选人应在参选文件中提供《售后服务和培训方案》供比选人查看，如下供参考。</w:t>
      </w:r>
    </w:p>
    <w:p>
      <w:pPr>
        <w:ind w:firstLine="480"/>
        <w:rPr>
          <w:color w:val="auto"/>
        </w:rPr>
      </w:pPr>
      <w:r>
        <w:rPr>
          <w:rFonts w:hint="eastAsia"/>
          <w:color w:val="auto"/>
        </w:rPr>
        <w:t>7.1 遵守《中华人民共和国产品质量法》和《消费者权益保护法》的相关规定，供货厂商应提供服务标准可高于以上规定，但不得降低。</w:t>
      </w:r>
    </w:p>
    <w:p>
      <w:pPr>
        <w:ind w:firstLine="480"/>
        <w:rPr>
          <w:color w:val="auto"/>
        </w:rPr>
      </w:pPr>
      <w:r>
        <w:rPr>
          <w:rFonts w:hint="eastAsia"/>
          <w:color w:val="auto"/>
        </w:rPr>
        <w:t>7.2 为比选人提供维保前咨询服务。</w:t>
      </w:r>
    </w:p>
    <w:p>
      <w:pPr>
        <w:ind w:firstLine="480"/>
        <w:rPr>
          <w:color w:val="auto"/>
        </w:rPr>
      </w:pPr>
      <w:r>
        <w:rPr>
          <w:rFonts w:hint="eastAsia"/>
          <w:color w:val="auto"/>
        </w:rPr>
        <w:t>7.3 维保服务质量保证期以生产企业的有效承诺为准。</w:t>
      </w:r>
    </w:p>
    <w:p>
      <w:pPr>
        <w:ind w:firstLine="480"/>
        <w:rPr>
          <w:color w:val="auto"/>
        </w:rPr>
      </w:pPr>
      <w:r>
        <w:rPr>
          <w:rFonts w:hint="eastAsia"/>
          <w:color w:val="auto"/>
        </w:rPr>
        <w:t>7.4 对维保范围内设备进行定期维护保养外，在接到我行设备故障的通知后应及时派人前往维护解决（主城区2小时到现场，远郊区4小时到现场，如需更换故障设备零部件，须在48小时内完成）。</w:t>
      </w:r>
    </w:p>
    <w:p>
      <w:pPr>
        <w:ind w:firstLine="480"/>
        <w:rPr>
          <w:color w:val="auto"/>
        </w:rPr>
      </w:pPr>
      <w:r>
        <w:rPr>
          <w:rFonts w:hint="eastAsia"/>
          <w:color w:val="auto"/>
        </w:rPr>
        <w:t>7.5 本采购项目自验收之</w:t>
      </w:r>
      <w:r>
        <w:rPr>
          <w:color w:val="auto"/>
        </w:rPr>
        <w:t>日</w:t>
      </w:r>
      <w:r>
        <w:rPr>
          <w:rFonts w:hint="eastAsia"/>
          <w:color w:val="auto"/>
        </w:rPr>
        <w:t>起，质保期要求为不少于</w:t>
      </w:r>
      <w:r>
        <w:rPr>
          <w:color w:val="auto"/>
        </w:rPr>
        <w:t>8</w:t>
      </w:r>
      <w:r>
        <w:rPr>
          <w:rFonts w:hint="eastAsia"/>
          <w:color w:val="auto"/>
        </w:rPr>
        <w:t>年。</w:t>
      </w:r>
    </w:p>
    <w:p>
      <w:pPr>
        <w:ind w:firstLine="480"/>
        <w:rPr>
          <w:color w:val="auto"/>
        </w:rPr>
      </w:pPr>
      <w:r>
        <w:rPr>
          <w:rFonts w:hint="eastAsia"/>
          <w:color w:val="auto"/>
        </w:rPr>
        <w:t xml:space="preserve">7.6 </w:t>
      </w:r>
      <w:r>
        <w:rPr>
          <w:color w:val="auto"/>
        </w:rPr>
        <w:t>参选人需说明后续收费维保期的维保购买政策，支持</w:t>
      </w:r>
      <w:r>
        <w:rPr>
          <w:rFonts w:hint="eastAsia"/>
          <w:color w:val="auto"/>
        </w:rPr>
        <w:t>将以不超过合同项下产品金额的___</w:t>
      </w:r>
      <w:r>
        <w:rPr>
          <w:color w:val="auto"/>
        </w:rPr>
        <w:t>_10_</w:t>
      </w:r>
      <w:r>
        <w:rPr>
          <w:rFonts w:hint="eastAsia"/>
          <w:color w:val="auto"/>
        </w:rPr>
        <w:t>__%的维保费率提供原厂维保服务，</w:t>
      </w:r>
      <w:r>
        <w:rPr>
          <w:color w:val="auto"/>
        </w:rPr>
        <w:t>是否支持设备原厂商与比选人直接签订原厂硬件维保服务合同。</w:t>
      </w:r>
    </w:p>
    <w:p>
      <w:pPr>
        <w:ind w:firstLine="480"/>
        <w:rPr>
          <w:color w:val="auto"/>
        </w:rPr>
      </w:pPr>
      <w:r>
        <w:rPr>
          <w:rFonts w:hint="eastAsia"/>
          <w:color w:val="auto"/>
        </w:rPr>
        <w:t>【提供售后服务和培训方案】</w:t>
      </w:r>
    </w:p>
    <w:p>
      <w:pPr>
        <w:pStyle w:val="4"/>
        <w:rPr>
          <w:color w:val="auto"/>
        </w:rPr>
      </w:pPr>
      <w:r>
        <w:rPr>
          <w:rFonts w:hint="eastAsia"/>
          <w:color w:val="auto"/>
        </w:rPr>
        <w:t>9. 付款方式</w:t>
      </w:r>
      <w:bookmarkEnd w:id="55"/>
      <w:bookmarkEnd w:id="56"/>
    </w:p>
    <w:p>
      <w:pPr>
        <w:ind w:firstLine="480"/>
        <w:rPr>
          <w:color w:val="auto"/>
        </w:rPr>
      </w:pPr>
      <w:bookmarkStart w:id="57" w:name="_Toc15059421"/>
      <w:bookmarkStart w:id="58" w:name="_Toc89675149"/>
      <w:bookmarkStart w:id="59" w:name="_Toc89675147"/>
      <w:r>
        <w:rPr>
          <w:rFonts w:hint="eastAsia"/>
          <w:color w:val="auto"/>
        </w:rPr>
        <w:t>本项目采用分期付款：</w:t>
      </w:r>
    </w:p>
    <w:p>
      <w:pPr>
        <w:ind w:firstLine="480"/>
        <w:rPr>
          <w:color w:val="auto"/>
        </w:rPr>
      </w:pPr>
      <w:r>
        <w:rPr>
          <w:rFonts w:hint="eastAsia"/>
          <w:color w:val="auto"/>
        </w:rPr>
        <w:t>合同签订完成，整套</w:t>
      </w:r>
      <w:r>
        <w:rPr>
          <w:color w:val="auto"/>
        </w:rPr>
        <w:t>参选</w:t>
      </w:r>
      <w:r>
        <w:rPr>
          <w:rFonts w:hint="eastAsia"/>
          <w:color w:val="auto"/>
        </w:rPr>
        <w:t>设备到货后，经过加电测试，并审核通过后30个工作日内支付合同金额的</w:t>
      </w:r>
      <w:r>
        <w:rPr>
          <w:color w:val="auto"/>
        </w:rPr>
        <w:t>4</w:t>
      </w:r>
      <w:r>
        <w:rPr>
          <w:rFonts w:hint="eastAsia"/>
          <w:color w:val="auto"/>
        </w:rPr>
        <w:t>0%；完成本项目设备签收并正常运行</w:t>
      </w:r>
      <w:r>
        <w:rPr>
          <w:color w:val="auto"/>
        </w:rPr>
        <w:t>三个月</w:t>
      </w:r>
      <w:r>
        <w:rPr>
          <w:rFonts w:hint="eastAsia"/>
          <w:color w:val="auto"/>
        </w:rPr>
        <w:t>后，30个工作日内支付合同金额的58%；本项目维保期到期后，30</w:t>
      </w:r>
      <w:r>
        <w:rPr>
          <w:color w:val="auto"/>
        </w:rPr>
        <w:t>个工作日内支付合同金额的</w:t>
      </w:r>
      <w:r>
        <w:rPr>
          <w:rFonts w:hint="eastAsia"/>
          <w:color w:val="auto"/>
        </w:rPr>
        <w:t>2</w:t>
      </w:r>
      <w:r>
        <w:rPr>
          <w:color w:val="auto"/>
        </w:rPr>
        <w:t>%</w:t>
      </w:r>
      <w:r>
        <w:rPr>
          <w:rFonts w:hint="eastAsia"/>
          <w:color w:val="auto"/>
        </w:rPr>
        <w:t>。</w:t>
      </w:r>
    </w:p>
    <w:bookmarkEnd w:id="57"/>
    <w:bookmarkEnd w:id="58"/>
    <w:bookmarkEnd w:id="59"/>
    <w:p>
      <w:pPr>
        <w:pStyle w:val="4"/>
        <w:rPr>
          <w:color w:val="auto"/>
        </w:rPr>
      </w:pPr>
      <w:bookmarkStart w:id="60" w:name="_Toc89675150"/>
      <w:bookmarkStart w:id="61" w:name="_Toc15059424"/>
      <w:r>
        <w:rPr>
          <w:rFonts w:hint="eastAsia"/>
          <w:color w:val="auto"/>
        </w:rPr>
        <w:t>10. 保密条款</w:t>
      </w:r>
      <w:bookmarkEnd w:id="51"/>
      <w:bookmarkEnd w:id="52"/>
      <w:bookmarkEnd w:id="53"/>
      <w:bookmarkEnd w:id="54"/>
      <w:bookmarkEnd w:id="60"/>
      <w:bookmarkEnd w:id="61"/>
    </w:p>
    <w:p>
      <w:pPr>
        <w:pStyle w:val="5"/>
        <w:ind w:firstLine="482"/>
        <w:rPr>
          <w:color w:val="auto"/>
        </w:rPr>
      </w:pPr>
      <w:r>
        <w:rPr>
          <w:rFonts w:hint="eastAsia"/>
          <w:color w:val="auto"/>
        </w:rPr>
        <w:t>10.1 保密范围</w:t>
      </w:r>
    </w:p>
    <w:p>
      <w:pPr>
        <w:ind w:firstLine="480"/>
        <w:rPr>
          <w:color w:val="auto"/>
        </w:rPr>
      </w:pPr>
      <w:r>
        <w:rPr>
          <w:rFonts w:hint="eastAsia"/>
          <w:color w:val="auto"/>
        </w:rPr>
        <w:t>中选人在实施过程中接触到的比选人知识产权、经营信息等。</w:t>
      </w:r>
    </w:p>
    <w:p>
      <w:pPr>
        <w:pStyle w:val="5"/>
        <w:ind w:firstLine="482"/>
        <w:rPr>
          <w:color w:val="auto"/>
        </w:rPr>
      </w:pPr>
      <w:r>
        <w:rPr>
          <w:rFonts w:hint="eastAsia"/>
          <w:color w:val="auto"/>
        </w:rPr>
        <w:t>10.2 保密责任</w:t>
      </w:r>
    </w:p>
    <w:p>
      <w:pPr>
        <w:ind w:firstLine="480"/>
        <w:rPr>
          <w:color w:val="auto"/>
        </w:rPr>
      </w:pPr>
      <w:r>
        <w:rPr>
          <w:rFonts w:hint="eastAsia"/>
          <w:color w:val="auto"/>
        </w:rPr>
        <w:t>双方互为保密资料的提供方和接受方，负有保密义务，承担保密责任。除经过双方书面同意，任何一方不得将有关内容提供给合同以外的第三人。</w:t>
      </w:r>
    </w:p>
    <w:p>
      <w:pPr>
        <w:pStyle w:val="4"/>
        <w:rPr>
          <w:color w:val="auto"/>
        </w:rPr>
      </w:pPr>
      <w:r>
        <w:rPr>
          <w:rFonts w:hint="eastAsia"/>
          <w:color w:val="auto"/>
        </w:rPr>
        <w:t>11. 报价要求</w:t>
      </w:r>
    </w:p>
    <w:p>
      <w:pPr>
        <w:ind w:firstLine="480"/>
        <w:rPr>
          <w:color w:val="auto"/>
        </w:rPr>
      </w:pPr>
      <w:r>
        <w:rPr>
          <w:rFonts w:hint="eastAsia"/>
          <w:color w:val="auto"/>
        </w:rPr>
        <w:t>11.1 参选人应严格按照《参选文件格式》的“报价一览表”和“分项报价明细表”的格式认真填写。</w:t>
      </w:r>
    </w:p>
    <w:p>
      <w:pPr>
        <w:ind w:firstLine="480"/>
        <w:rPr>
          <w:color w:val="auto"/>
        </w:rPr>
      </w:pPr>
      <w:r>
        <w:rPr>
          <w:rFonts w:hint="eastAsia"/>
          <w:color w:val="auto"/>
        </w:rPr>
        <w:t>11.2 “分项报价明细表”里需详细写明各类硬件、中间件、操作系统、实施费用等产品模块名称及价格。</w:t>
      </w:r>
    </w:p>
    <w:p>
      <w:pPr>
        <w:ind w:firstLine="480"/>
        <w:rPr>
          <w:color w:val="auto"/>
        </w:rPr>
      </w:pPr>
      <w:r>
        <w:rPr>
          <w:rFonts w:hint="eastAsia"/>
          <w:color w:val="auto"/>
        </w:rPr>
        <w:t>11.3 报价单上应列明增值税专用发票的税率。</w:t>
      </w:r>
    </w:p>
    <w:p>
      <w:pPr>
        <w:pStyle w:val="4"/>
        <w:rPr>
          <w:color w:val="auto"/>
        </w:rPr>
      </w:pPr>
      <w:bookmarkStart w:id="62" w:name="_Toc15059426"/>
      <w:bookmarkStart w:id="63" w:name="_Toc89675152"/>
      <w:r>
        <w:rPr>
          <w:rFonts w:hint="eastAsia"/>
          <w:color w:val="auto"/>
        </w:rPr>
        <w:t>12. 知识产权</w:t>
      </w:r>
      <w:bookmarkEnd w:id="62"/>
      <w:bookmarkEnd w:id="63"/>
    </w:p>
    <w:p>
      <w:pPr>
        <w:ind w:firstLine="480"/>
        <w:rPr>
          <w:color w:val="auto"/>
        </w:rPr>
      </w:pPr>
      <w:r>
        <w:rPr>
          <w:rFonts w:hint="eastAsia"/>
          <w:color w:val="auto"/>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4"/>
        <w:rPr>
          <w:color w:val="auto"/>
        </w:rPr>
      </w:pPr>
      <w:bookmarkStart w:id="64" w:name="_Toc89675153"/>
      <w:bookmarkStart w:id="65" w:name="_Toc15059427"/>
      <w:r>
        <w:rPr>
          <w:rFonts w:hint="eastAsia"/>
          <w:color w:val="auto"/>
        </w:rPr>
        <w:t>13. 其他</w:t>
      </w:r>
      <w:bookmarkEnd w:id="64"/>
      <w:bookmarkEnd w:id="65"/>
    </w:p>
    <w:p>
      <w:pPr>
        <w:ind w:firstLine="480"/>
        <w:rPr>
          <w:color w:val="auto"/>
        </w:rPr>
      </w:pPr>
      <w:r>
        <w:rPr>
          <w:rFonts w:hint="eastAsia"/>
          <w:color w:val="auto"/>
        </w:rPr>
        <w:t>13.1 参选人必须在参选文件中对以上条款和服务承诺明确列出，承诺内容必须达到本篇及比选文件其他条款的要求。</w:t>
      </w:r>
    </w:p>
    <w:p>
      <w:pPr>
        <w:ind w:firstLine="480"/>
        <w:rPr>
          <w:color w:val="auto"/>
        </w:rPr>
      </w:pPr>
      <w:r>
        <w:rPr>
          <w:rFonts w:hint="eastAsia"/>
          <w:color w:val="auto"/>
        </w:rPr>
        <w:t>13.2 其他未尽事宜由供需双方在合同中详细约定。</w:t>
      </w:r>
    </w:p>
    <w:p>
      <w:pPr>
        <w:ind w:firstLine="480"/>
        <w:rPr>
          <w:color w:val="auto"/>
        </w:rPr>
      </w:pPr>
    </w:p>
    <w:p>
      <w:pPr>
        <w:ind w:firstLine="480"/>
        <w:rPr>
          <w:color w:val="auto"/>
        </w:rPr>
      </w:pPr>
      <w:r>
        <w:rPr>
          <w:rFonts w:hint="eastAsia"/>
          <w:color w:val="auto"/>
        </w:rPr>
        <w:br w:type="page"/>
      </w:r>
    </w:p>
    <w:p>
      <w:pPr>
        <w:ind w:firstLine="480"/>
        <w:rPr>
          <w:color w:val="auto"/>
        </w:rPr>
      </w:pPr>
    </w:p>
    <w:p>
      <w:pPr>
        <w:pStyle w:val="3"/>
        <w:rPr>
          <w:color w:val="auto"/>
        </w:rPr>
      </w:pPr>
      <w:bookmarkStart w:id="66" w:name="_Toc6277"/>
      <w:bookmarkStart w:id="67" w:name="_Toc29189"/>
      <w:bookmarkStart w:id="68" w:name="_Toc15059425"/>
      <w:bookmarkStart w:id="69" w:name="_Toc89675151"/>
      <w:r>
        <w:rPr>
          <w:rFonts w:hint="eastAsia"/>
          <w:color w:val="auto"/>
        </w:rPr>
        <w:t>第四章 评审办法</w:t>
      </w:r>
      <w:bookmarkEnd w:id="66"/>
    </w:p>
    <w:p>
      <w:pPr>
        <w:ind w:firstLine="482"/>
        <w:rPr>
          <w:b/>
          <w:bCs/>
          <w:color w:val="auto"/>
        </w:rPr>
      </w:pPr>
      <w:r>
        <w:rPr>
          <w:rFonts w:hint="eastAsia"/>
          <w:b/>
          <w:bCs/>
          <w:color w:val="auto"/>
        </w:rPr>
        <w:t>评审办法前附表</w:t>
      </w:r>
    </w:p>
    <w:p>
      <w:pPr>
        <w:spacing w:line="360" w:lineRule="auto"/>
        <w:ind w:firstLine="480"/>
        <w:rPr>
          <w:color w:val="auto"/>
        </w:rPr>
      </w:pPr>
      <w:r>
        <w:rPr>
          <w:rFonts w:ascii="宋体" w:hAnsi="宋体"/>
          <w:color w:val="auto"/>
          <w:szCs w:val="21"/>
        </w:rPr>
        <w:t>若</w:t>
      </w:r>
      <w:r>
        <w:rPr>
          <w:rFonts w:hint="eastAsia" w:ascii="宋体" w:hAnsi="宋体"/>
          <w:color w:val="auto"/>
          <w:szCs w:val="21"/>
        </w:rPr>
        <w:t>评审办法前附表</w:t>
      </w:r>
      <w:r>
        <w:rPr>
          <w:rFonts w:ascii="宋体" w:hAnsi="宋体"/>
          <w:color w:val="auto"/>
          <w:szCs w:val="21"/>
        </w:rPr>
        <w:t>与正文不一致的地方，以</w:t>
      </w:r>
      <w:r>
        <w:rPr>
          <w:rFonts w:hint="eastAsia" w:ascii="宋体" w:hAnsi="宋体"/>
          <w:color w:val="auto"/>
          <w:szCs w:val="21"/>
        </w:rPr>
        <w:t>评审办法前附表</w:t>
      </w:r>
      <w:r>
        <w:rPr>
          <w:rFonts w:ascii="宋体" w:hAnsi="宋体"/>
          <w:color w:val="auto"/>
          <w:szCs w:val="21"/>
        </w:rPr>
        <w:t>为准。</w:t>
      </w:r>
    </w:p>
    <w:tbl>
      <w:tblPr>
        <w:tblStyle w:val="18"/>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条款号</w:t>
            </w:r>
          </w:p>
        </w:tc>
        <w:tc>
          <w:tcPr>
            <w:tcW w:w="1253" w:type="dxa"/>
            <w:vAlign w:val="center"/>
          </w:tcPr>
          <w:p>
            <w:pPr>
              <w:spacing w:line="36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6921" w:type="dxa"/>
            <w:gridSpan w:val="2"/>
            <w:vAlign w:val="center"/>
          </w:tcPr>
          <w:p>
            <w:pPr>
              <w:spacing w:line="360" w:lineRule="auto"/>
              <w:ind w:firstLine="0" w:firstLineChars="0"/>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宋体" w:hAnsi="宋体" w:cs="宋体"/>
                <w:bCs/>
                <w:color w:val="auto"/>
                <w:kern w:val="0"/>
                <w:sz w:val="21"/>
                <w:szCs w:val="21"/>
              </w:rPr>
            </w:pPr>
            <w:r>
              <w:rPr>
                <w:rFonts w:hint="eastAsia" w:ascii="宋体" w:hAnsi="宋体" w:cs="宋体"/>
                <w:bCs/>
                <w:color w:val="auto"/>
                <w:kern w:val="0"/>
                <w:sz w:val="21"/>
                <w:szCs w:val="21"/>
              </w:rPr>
              <w:t>1</w:t>
            </w:r>
          </w:p>
        </w:tc>
        <w:tc>
          <w:tcPr>
            <w:tcW w:w="1253" w:type="dxa"/>
            <w:vAlign w:val="center"/>
          </w:tcPr>
          <w:p>
            <w:pPr>
              <w:spacing w:line="360" w:lineRule="auto"/>
              <w:ind w:firstLine="0" w:firstLineChars="0"/>
              <w:jc w:val="center"/>
              <w:rPr>
                <w:rFonts w:ascii="宋体" w:hAnsi="宋体" w:cs="宋体"/>
                <w:b/>
                <w:color w:val="auto"/>
                <w:kern w:val="0"/>
                <w:sz w:val="21"/>
                <w:szCs w:val="21"/>
              </w:rPr>
            </w:pPr>
            <w:r>
              <w:rPr>
                <w:rFonts w:hint="eastAsia" w:ascii="宋体" w:hAnsi="宋体" w:cs="宋体"/>
                <w:color w:val="auto"/>
                <w:sz w:val="21"/>
                <w:szCs w:val="21"/>
              </w:rPr>
              <w:t>评审方法</w:t>
            </w:r>
          </w:p>
        </w:tc>
        <w:tc>
          <w:tcPr>
            <w:tcW w:w="6921" w:type="dxa"/>
            <w:gridSpan w:val="2"/>
            <w:vAlign w:val="center"/>
          </w:tcPr>
          <w:p>
            <w:pPr>
              <w:spacing w:line="360" w:lineRule="auto"/>
              <w:ind w:firstLine="0" w:firstLineChars="0"/>
              <w:jc w:val="left"/>
              <w:rPr>
                <w:rFonts w:ascii="宋体" w:hAnsi="宋体" w:cs="宋体"/>
                <w:b/>
                <w:color w:val="auto"/>
                <w:kern w:val="0"/>
                <w:sz w:val="21"/>
                <w:szCs w:val="21"/>
              </w:rPr>
            </w:pPr>
            <w:r>
              <w:rPr>
                <w:rFonts w:hint="eastAsia" w:ascii="宋体" w:hAnsi="宋体" w:cs="宋体"/>
                <w:color w:val="auto"/>
                <w:spacing w:val="4"/>
                <w:kern w:val="0"/>
                <w:sz w:val="21"/>
                <w:szCs w:val="21"/>
              </w:rPr>
              <w:t>本次评审采用经评审的最低价法，评审委员会按照评审办法前附表第2.1 条进行报价排序，按照评审办法前附表第2.2 条进行符合性审查，符合性审查合格的参选人中按报价由低到高推荐3名中选候选人。若出现参选人参选报价相同的，</w:t>
            </w:r>
            <w:r>
              <w:rPr>
                <w:rFonts w:hint="eastAsia" w:ascii="宋体" w:hAnsi="宋体" w:cs="Times New Roman"/>
                <w:color w:val="auto"/>
                <w:kern w:val="0"/>
                <w:sz w:val="21"/>
                <w:szCs w:val="24"/>
              </w:rPr>
              <w:t>由评审委员会按</w:t>
            </w:r>
            <w:r>
              <w:rPr>
                <w:rFonts w:hint="eastAsia" w:ascii="宋体" w:hAnsi="宋体" w:cs="宋体"/>
                <w:color w:val="auto"/>
                <w:spacing w:val="4"/>
                <w:kern w:val="0"/>
                <w:sz w:val="21"/>
                <w:szCs w:val="21"/>
              </w:rPr>
              <w:t>照单个案例金额最大的优先原则排序。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宋体" w:hAnsi="宋体" w:cs="宋体"/>
                <w:bCs/>
                <w:color w:val="auto"/>
                <w:kern w:val="0"/>
                <w:sz w:val="21"/>
                <w:szCs w:val="21"/>
              </w:rPr>
            </w:pPr>
            <w:r>
              <w:rPr>
                <w:rFonts w:hint="eastAsia" w:ascii="宋体" w:hAnsi="宋体" w:cs="宋体"/>
                <w:bCs/>
                <w:color w:val="auto"/>
                <w:kern w:val="0"/>
                <w:sz w:val="21"/>
                <w:szCs w:val="21"/>
              </w:rPr>
              <w:t>2.1</w:t>
            </w:r>
          </w:p>
        </w:tc>
        <w:tc>
          <w:tcPr>
            <w:tcW w:w="1253" w:type="dxa"/>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rPr>
              <w:t>报价排序</w:t>
            </w:r>
          </w:p>
        </w:tc>
        <w:tc>
          <w:tcPr>
            <w:tcW w:w="6921" w:type="dxa"/>
            <w:gridSpan w:val="2"/>
            <w:vAlign w:val="center"/>
          </w:tcPr>
          <w:p>
            <w:pPr>
              <w:spacing w:line="360" w:lineRule="auto"/>
              <w:ind w:firstLine="0" w:firstLineChars="0"/>
              <w:jc w:val="left"/>
              <w:rPr>
                <w:rFonts w:ascii="宋体" w:hAnsi="宋体" w:cs="宋体"/>
                <w:color w:val="auto"/>
                <w:spacing w:val="4"/>
                <w:kern w:val="0"/>
                <w:sz w:val="21"/>
                <w:szCs w:val="21"/>
              </w:rPr>
            </w:pPr>
            <w:r>
              <w:rPr>
                <w:rFonts w:hint="eastAsia" w:ascii="宋体" w:hAnsi="宋体" w:cs="宋体"/>
                <w:color w:val="auto"/>
                <w:kern w:val="0"/>
                <w:sz w:val="21"/>
                <w:szCs w:val="21"/>
              </w:rPr>
              <w:t>对报价不高于最高限价的所有参选人的参选文件，</w:t>
            </w:r>
            <w:r>
              <w:rPr>
                <w:rFonts w:hint="eastAsia" w:ascii="宋体" w:hAnsi="宋体" w:cs="宋体"/>
                <w:color w:val="auto"/>
                <w:spacing w:val="4"/>
                <w:kern w:val="0"/>
                <w:sz w:val="21"/>
                <w:szCs w:val="21"/>
              </w:rPr>
              <w:t>符合性审查合格的</w:t>
            </w:r>
            <w:r>
              <w:rPr>
                <w:rFonts w:hint="eastAsia" w:ascii="宋体" w:hAnsi="宋体" w:cs="宋体"/>
                <w:color w:val="auto"/>
                <w:kern w:val="0"/>
                <w:sz w:val="21"/>
                <w:szCs w:val="21"/>
              </w:rPr>
              <w:t>按照报价由低到高的顺序排序。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宋体" w:hAnsi="宋体" w:cs="宋体"/>
                <w:bCs/>
                <w:color w:val="auto"/>
                <w:kern w:val="0"/>
                <w:sz w:val="21"/>
                <w:szCs w:val="21"/>
              </w:rPr>
            </w:pPr>
            <w:r>
              <w:rPr>
                <w:rFonts w:hint="eastAsia" w:ascii="宋体" w:hAnsi="宋体" w:cs="宋体"/>
                <w:bCs/>
                <w:color w:val="auto"/>
                <w:kern w:val="0"/>
                <w:sz w:val="21"/>
                <w:szCs w:val="21"/>
              </w:rPr>
              <w:t>2.2</w:t>
            </w:r>
          </w:p>
        </w:tc>
        <w:tc>
          <w:tcPr>
            <w:tcW w:w="12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符合性审查标准</w:t>
            </w:r>
          </w:p>
        </w:tc>
        <w:tc>
          <w:tcPr>
            <w:tcW w:w="6921" w:type="dxa"/>
            <w:gridSpan w:val="2"/>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所有参选单位</w:t>
            </w:r>
            <w:r>
              <w:rPr>
                <w:rFonts w:hint="eastAsia" w:ascii="宋体" w:hAnsi="宋体" w:cs="宋体"/>
                <w:color w:val="auto"/>
                <w:spacing w:val="4"/>
                <w:kern w:val="0"/>
                <w:sz w:val="21"/>
                <w:szCs w:val="21"/>
              </w:rPr>
              <w:t>进行符合性审查。符合性审查内容：资格评审、形式评审、响应性评审。符合性审查</w:t>
            </w:r>
            <w:r>
              <w:rPr>
                <w:rFonts w:hint="eastAsia" w:ascii="宋体" w:hAnsi="宋体" w:cs="宋体"/>
                <w:color w:val="auto"/>
                <w:kern w:val="0"/>
                <w:sz w:val="21"/>
                <w:szCs w:val="21"/>
              </w:rPr>
              <w:t>合格的参选人中，报价最低的成为第一中选候选人，报价次低的成为第二中选候选人，依次类推，共推荐三名中选候选人。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pPr>
              <w:spacing w:line="360" w:lineRule="auto"/>
              <w:ind w:firstLine="0" w:firstLineChars="0"/>
              <w:jc w:val="center"/>
              <w:rPr>
                <w:rFonts w:ascii="宋体" w:hAnsi="宋体" w:cs="宋体"/>
                <w:bCs/>
                <w:color w:val="auto"/>
                <w:kern w:val="0"/>
                <w:sz w:val="21"/>
                <w:szCs w:val="21"/>
              </w:rPr>
            </w:pPr>
            <w:r>
              <w:rPr>
                <w:rFonts w:hint="eastAsia" w:ascii="宋体" w:hAnsi="宋体" w:cs="宋体"/>
                <w:bCs/>
                <w:color w:val="auto"/>
                <w:kern w:val="0"/>
                <w:sz w:val="21"/>
                <w:szCs w:val="21"/>
              </w:rPr>
              <w:t>2.2.1</w:t>
            </w:r>
          </w:p>
        </w:tc>
        <w:tc>
          <w:tcPr>
            <w:tcW w:w="12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资格评审标准</w:t>
            </w: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资格条件要求</w:t>
            </w:r>
          </w:p>
        </w:tc>
        <w:tc>
          <w:tcPr>
            <w:tcW w:w="5168" w:type="dxa"/>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2.2.2</w:t>
            </w:r>
          </w:p>
        </w:tc>
        <w:tc>
          <w:tcPr>
            <w:tcW w:w="1253" w:type="dxa"/>
            <w:vMerge w:val="restart"/>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形式评审标准</w:t>
            </w: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参选人名称</w:t>
            </w:r>
          </w:p>
        </w:tc>
        <w:tc>
          <w:tcPr>
            <w:tcW w:w="5168" w:type="dxa"/>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pPr>
              <w:spacing w:line="360" w:lineRule="auto"/>
              <w:ind w:firstLine="0" w:firstLineChars="0"/>
              <w:rPr>
                <w:rFonts w:ascii="宋体" w:hAnsi="宋体" w:cs="宋体"/>
                <w:color w:val="auto"/>
                <w:sz w:val="21"/>
                <w:szCs w:val="21"/>
              </w:rPr>
            </w:pPr>
          </w:p>
        </w:tc>
        <w:tc>
          <w:tcPr>
            <w:tcW w:w="1253" w:type="dxa"/>
            <w:vMerge w:val="continue"/>
            <w:vAlign w:val="center"/>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参选文件的签字盖章</w:t>
            </w:r>
          </w:p>
        </w:tc>
        <w:tc>
          <w:tcPr>
            <w:tcW w:w="5168" w:type="dxa"/>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pPr>
              <w:spacing w:line="360" w:lineRule="auto"/>
              <w:ind w:firstLine="0" w:firstLineChars="0"/>
              <w:rPr>
                <w:rFonts w:ascii="宋体" w:hAnsi="宋体" w:cs="宋体"/>
                <w:color w:val="auto"/>
                <w:sz w:val="21"/>
                <w:szCs w:val="21"/>
              </w:rPr>
            </w:pPr>
          </w:p>
        </w:tc>
        <w:tc>
          <w:tcPr>
            <w:tcW w:w="1253" w:type="dxa"/>
            <w:vMerge w:val="continue"/>
            <w:vAlign w:val="center"/>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参选文件的密封</w:t>
            </w:r>
          </w:p>
        </w:tc>
        <w:tc>
          <w:tcPr>
            <w:tcW w:w="5168" w:type="dxa"/>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符合第二章“参选人须知”4.8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pPr>
              <w:spacing w:line="360" w:lineRule="auto"/>
              <w:ind w:firstLine="0" w:firstLineChars="0"/>
              <w:rPr>
                <w:rFonts w:ascii="宋体" w:hAnsi="宋体" w:cs="宋体"/>
                <w:color w:val="auto"/>
                <w:sz w:val="21"/>
                <w:szCs w:val="21"/>
              </w:rPr>
            </w:pPr>
          </w:p>
        </w:tc>
        <w:tc>
          <w:tcPr>
            <w:tcW w:w="1253" w:type="dxa"/>
            <w:vMerge w:val="continue"/>
            <w:vAlign w:val="center"/>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参选文件格式</w:t>
            </w:r>
          </w:p>
        </w:tc>
        <w:tc>
          <w:tcPr>
            <w:tcW w:w="5168" w:type="dxa"/>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符合第六章“参选文件格式”的要求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pPr>
              <w:spacing w:line="360" w:lineRule="auto"/>
              <w:ind w:firstLine="0" w:firstLineChars="0"/>
              <w:rPr>
                <w:rFonts w:ascii="宋体" w:hAnsi="宋体" w:cs="宋体"/>
                <w:color w:val="auto"/>
                <w:sz w:val="21"/>
                <w:szCs w:val="21"/>
              </w:rPr>
            </w:pPr>
          </w:p>
        </w:tc>
        <w:tc>
          <w:tcPr>
            <w:tcW w:w="1253" w:type="dxa"/>
            <w:vMerge w:val="continue"/>
            <w:vAlign w:val="center"/>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参选文件组成</w:t>
            </w:r>
          </w:p>
        </w:tc>
        <w:tc>
          <w:tcPr>
            <w:tcW w:w="5168" w:type="dxa"/>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符合第二章“参选人须知”4.1 条规定，</w:t>
            </w:r>
            <w:r>
              <w:rPr>
                <w:rFonts w:hint="eastAsia" w:ascii="宋体" w:cs="宋体"/>
                <w:color w:val="auto"/>
                <w:kern w:val="0"/>
                <w:sz w:val="20"/>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pPr>
              <w:spacing w:line="360" w:lineRule="auto"/>
              <w:ind w:firstLine="0" w:firstLineChars="0"/>
              <w:rPr>
                <w:rFonts w:ascii="宋体" w:hAnsi="宋体" w:cs="宋体"/>
                <w:color w:val="auto"/>
                <w:sz w:val="21"/>
                <w:szCs w:val="21"/>
              </w:rPr>
            </w:pPr>
          </w:p>
        </w:tc>
        <w:tc>
          <w:tcPr>
            <w:tcW w:w="1253" w:type="dxa"/>
            <w:vMerge w:val="continue"/>
            <w:vAlign w:val="center"/>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联合体参选</w:t>
            </w:r>
          </w:p>
        </w:tc>
        <w:tc>
          <w:tcPr>
            <w:tcW w:w="5168" w:type="dxa"/>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rPr>
              <w:t>2.2.3</w:t>
            </w:r>
          </w:p>
        </w:tc>
        <w:tc>
          <w:tcPr>
            <w:tcW w:w="1253" w:type="dxa"/>
            <w:vMerge w:val="restart"/>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kern w:val="0"/>
                <w:sz w:val="21"/>
                <w:szCs w:val="21"/>
              </w:rPr>
              <w:t>响应性评审标准</w:t>
            </w: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参选内容</w:t>
            </w:r>
          </w:p>
        </w:tc>
        <w:tc>
          <w:tcPr>
            <w:tcW w:w="5168" w:type="dxa"/>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1. 提供响应承诺函，并在响应承诺函中对第三章“项目要求”内容做出整体承诺；</w:t>
            </w:r>
          </w:p>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2. 根据第三章“3. 技术要求”中3.2 TAP交换机技术参数要求，提供参数要求偏离表，内容齐全、无遗漏，无负偏离。</w:t>
            </w:r>
          </w:p>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3. 符合第三章“3. 技术要求”规定，提供技术要求响应承诺函，承诺函内容包含：提供8年的原厂维保服务、提供设备7*24*4原厂响应服务、提供</w:t>
            </w:r>
            <w:r>
              <w:rPr>
                <w:rFonts w:hint="eastAsia" w:ascii="宋体" w:hAnsi="宋体" w:cs="宋体"/>
                <w:color w:val="auto"/>
                <w:sz w:val="21"/>
                <w:szCs w:val="21"/>
              </w:rPr>
              <w:t>参选产品对应管理工具、提供永久授权等内容。</w:t>
            </w:r>
          </w:p>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 xml:space="preserve">3. 根据第一章“2. </w:t>
            </w:r>
            <w:r>
              <w:rPr>
                <w:rFonts w:ascii="宋体" w:hAnsi="宋体" w:cs="宋体"/>
                <w:color w:val="auto"/>
                <w:kern w:val="0"/>
                <w:sz w:val="21"/>
                <w:szCs w:val="21"/>
              </w:rPr>
              <w:t>参选人资格要求”和第三章“项目要求”的要求规定，提供对应案例、授权证明、服务方案、响应函、承诺函、说明、报告等内容，内容齐全、无遗漏。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pPr>
              <w:spacing w:line="360" w:lineRule="auto"/>
              <w:ind w:firstLine="0" w:firstLineChars="0"/>
              <w:jc w:val="center"/>
              <w:rPr>
                <w:rFonts w:ascii="宋体" w:hAnsi="宋体" w:cs="宋体"/>
                <w:color w:val="auto"/>
                <w:sz w:val="21"/>
                <w:szCs w:val="21"/>
              </w:rPr>
            </w:pPr>
          </w:p>
        </w:tc>
        <w:tc>
          <w:tcPr>
            <w:tcW w:w="1253" w:type="dxa"/>
            <w:vMerge w:val="continue"/>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参选文件份数</w:t>
            </w:r>
          </w:p>
        </w:tc>
        <w:tc>
          <w:tcPr>
            <w:tcW w:w="5168" w:type="dxa"/>
            <w:vAlign w:val="center"/>
          </w:tcPr>
          <w:p>
            <w:pPr>
              <w:spacing w:line="24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pPr>
              <w:spacing w:line="360" w:lineRule="auto"/>
              <w:ind w:firstLine="0" w:firstLineChars="0"/>
              <w:jc w:val="center"/>
              <w:rPr>
                <w:rFonts w:ascii="宋体" w:hAnsi="宋体" w:cs="宋体"/>
                <w:color w:val="auto"/>
                <w:sz w:val="21"/>
                <w:szCs w:val="21"/>
              </w:rPr>
            </w:pPr>
          </w:p>
        </w:tc>
        <w:tc>
          <w:tcPr>
            <w:tcW w:w="1253" w:type="dxa"/>
            <w:vMerge w:val="continue"/>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参选方案唯一</w:t>
            </w:r>
          </w:p>
        </w:tc>
        <w:tc>
          <w:tcPr>
            <w:tcW w:w="5168" w:type="dxa"/>
            <w:vAlign w:val="center"/>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pPr>
              <w:spacing w:line="360" w:lineRule="auto"/>
              <w:ind w:firstLine="0" w:firstLineChars="0"/>
              <w:jc w:val="center"/>
              <w:rPr>
                <w:rFonts w:ascii="宋体" w:hAnsi="宋体" w:cs="宋体"/>
                <w:color w:val="auto"/>
                <w:sz w:val="21"/>
                <w:szCs w:val="21"/>
              </w:rPr>
            </w:pPr>
          </w:p>
        </w:tc>
        <w:tc>
          <w:tcPr>
            <w:tcW w:w="1253" w:type="dxa"/>
            <w:vMerge w:val="continue"/>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参选报价</w:t>
            </w:r>
          </w:p>
        </w:tc>
        <w:tc>
          <w:tcPr>
            <w:tcW w:w="5168" w:type="dxa"/>
            <w:vAlign w:val="center"/>
          </w:tcPr>
          <w:p>
            <w:pPr>
              <w:adjustRightInd w:val="0"/>
              <w:snapToGrid w:val="0"/>
              <w:spacing w:line="36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pPr>
              <w:spacing w:line="360" w:lineRule="auto"/>
              <w:ind w:firstLine="0" w:firstLineChars="0"/>
              <w:jc w:val="center"/>
              <w:rPr>
                <w:rFonts w:ascii="宋体" w:hAnsi="宋体" w:cs="宋体"/>
                <w:color w:val="auto"/>
                <w:sz w:val="21"/>
                <w:szCs w:val="21"/>
              </w:rPr>
            </w:pPr>
          </w:p>
        </w:tc>
        <w:tc>
          <w:tcPr>
            <w:tcW w:w="1253" w:type="dxa"/>
            <w:vMerge w:val="continue"/>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参选有效期</w:t>
            </w:r>
          </w:p>
        </w:tc>
        <w:tc>
          <w:tcPr>
            <w:tcW w:w="5168" w:type="dxa"/>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pPr>
              <w:spacing w:line="360" w:lineRule="auto"/>
              <w:ind w:firstLine="0" w:firstLineChars="0"/>
              <w:jc w:val="center"/>
              <w:rPr>
                <w:rFonts w:ascii="宋体" w:hAnsi="宋体" w:cs="宋体"/>
                <w:color w:val="auto"/>
                <w:sz w:val="21"/>
                <w:szCs w:val="21"/>
              </w:rPr>
            </w:pPr>
          </w:p>
        </w:tc>
        <w:tc>
          <w:tcPr>
            <w:tcW w:w="1253" w:type="dxa"/>
            <w:vMerge w:val="continue"/>
          </w:tcPr>
          <w:p>
            <w:pPr>
              <w:spacing w:line="360" w:lineRule="auto"/>
              <w:ind w:firstLine="0" w:firstLineChars="0"/>
              <w:jc w:val="center"/>
              <w:rPr>
                <w:rFonts w:ascii="宋体" w:hAnsi="宋体" w:cs="宋体"/>
                <w:color w:val="auto"/>
                <w:sz w:val="21"/>
                <w:szCs w:val="21"/>
              </w:rPr>
            </w:pPr>
          </w:p>
        </w:tc>
        <w:tc>
          <w:tcPr>
            <w:tcW w:w="17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参选保证金</w:t>
            </w:r>
          </w:p>
        </w:tc>
        <w:tc>
          <w:tcPr>
            <w:tcW w:w="5168" w:type="dxa"/>
          </w:tcPr>
          <w:p>
            <w:pPr>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符合第二章“参选人须知”4.4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sz w:val="21"/>
                <w:szCs w:val="21"/>
              </w:rPr>
              <w:t>3</w:t>
            </w:r>
          </w:p>
        </w:tc>
        <w:tc>
          <w:tcPr>
            <w:tcW w:w="1253" w:type="dxa"/>
            <w:vAlign w:val="center"/>
          </w:tcPr>
          <w:p>
            <w:pPr>
              <w:spacing w:line="360" w:lineRule="auto"/>
              <w:ind w:firstLine="0" w:firstLineChars="0"/>
              <w:jc w:val="center"/>
              <w:rPr>
                <w:rFonts w:ascii="宋体" w:hAnsi="宋体" w:cs="宋体"/>
                <w:color w:val="auto"/>
                <w:kern w:val="0"/>
                <w:sz w:val="21"/>
                <w:szCs w:val="21"/>
              </w:rPr>
            </w:pPr>
            <w:r>
              <w:rPr>
                <w:rFonts w:hint="eastAsia" w:ascii="宋体" w:hAnsi="宋体" w:cs="宋体"/>
                <w:color w:val="auto"/>
                <w:sz w:val="21"/>
                <w:szCs w:val="21"/>
              </w:rPr>
              <w:t>评审程序</w:t>
            </w:r>
          </w:p>
        </w:tc>
        <w:tc>
          <w:tcPr>
            <w:tcW w:w="6921" w:type="dxa"/>
            <w:gridSpan w:val="2"/>
          </w:tcPr>
          <w:p>
            <w:pPr>
              <w:adjustRightInd w:val="0"/>
              <w:snapToGrid w:val="0"/>
              <w:spacing w:line="36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1. 对报价不高于最高限价的所有参选人的参选文件，按照报价由低到高的顺序排序。</w:t>
            </w:r>
          </w:p>
          <w:p>
            <w:pPr>
              <w:spacing w:line="360" w:lineRule="auto"/>
              <w:ind w:firstLine="0" w:firstLineChars="0"/>
              <w:rPr>
                <w:rFonts w:ascii="宋体" w:hAnsi="宋体" w:cs="宋体"/>
                <w:color w:val="auto"/>
                <w:sz w:val="21"/>
                <w:szCs w:val="21"/>
              </w:rPr>
            </w:pPr>
            <w:r>
              <w:rPr>
                <w:rFonts w:hint="eastAsia" w:ascii="宋体" w:hAnsi="宋体" w:cs="宋体"/>
                <w:color w:val="auto"/>
                <w:sz w:val="21"/>
                <w:szCs w:val="21"/>
              </w:rPr>
              <w:t xml:space="preserve">2. </w:t>
            </w:r>
            <w:r>
              <w:rPr>
                <w:rFonts w:hint="eastAsia" w:ascii="宋体" w:hAnsi="宋体" w:cs="宋体"/>
                <w:color w:val="auto"/>
                <w:kern w:val="0"/>
                <w:sz w:val="21"/>
                <w:szCs w:val="21"/>
              </w:rPr>
              <w:t>根据评审办法前附表第2.2 条约定进行符合性审查</w:t>
            </w:r>
            <w:r>
              <w:rPr>
                <w:rFonts w:hint="eastAsia" w:ascii="宋体" w:hAnsi="宋体" w:cs="宋体"/>
                <w:color w:val="auto"/>
                <w:spacing w:val="4"/>
                <w:kern w:val="0"/>
                <w:sz w:val="21"/>
                <w:szCs w:val="21"/>
              </w:rPr>
              <w:t>。符合性审查</w:t>
            </w:r>
            <w:r>
              <w:rPr>
                <w:rFonts w:hint="eastAsia" w:ascii="宋体" w:hAnsi="宋体" w:cs="宋体"/>
                <w:color w:val="auto"/>
                <w:kern w:val="0"/>
                <w:sz w:val="21"/>
                <w:szCs w:val="21"/>
              </w:rPr>
              <w:t>合格的参选人中，报价最低的成为第一中选候选人，报价次低的成为第二中选候选人，依次类推，共推荐三名中选候选人。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3.4</w:t>
            </w:r>
          </w:p>
        </w:tc>
        <w:tc>
          <w:tcPr>
            <w:tcW w:w="1253" w:type="dxa"/>
            <w:vAlign w:val="center"/>
          </w:tcPr>
          <w:p>
            <w:pPr>
              <w:spacing w:line="360" w:lineRule="auto"/>
              <w:ind w:firstLine="0" w:firstLineChars="0"/>
              <w:jc w:val="center"/>
              <w:rPr>
                <w:rFonts w:ascii="宋体" w:hAnsi="宋体" w:cs="宋体"/>
                <w:color w:val="auto"/>
                <w:sz w:val="21"/>
                <w:szCs w:val="21"/>
              </w:rPr>
            </w:pPr>
            <w:r>
              <w:rPr>
                <w:rFonts w:hint="eastAsia" w:ascii="宋体" w:hAnsi="宋体" w:cs="宋体"/>
                <w:color w:val="auto"/>
                <w:sz w:val="21"/>
                <w:szCs w:val="21"/>
              </w:rPr>
              <w:t>评审结果</w:t>
            </w:r>
          </w:p>
        </w:tc>
        <w:tc>
          <w:tcPr>
            <w:tcW w:w="6921" w:type="dxa"/>
            <w:gridSpan w:val="2"/>
            <w:vAlign w:val="center"/>
          </w:tcPr>
          <w:p>
            <w:pPr>
              <w:adjustRightInd w:val="0"/>
              <w:snapToGrid w:val="0"/>
              <w:spacing w:line="360" w:lineRule="auto"/>
              <w:ind w:firstLine="0" w:firstLineChars="0"/>
              <w:jc w:val="left"/>
              <w:rPr>
                <w:rFonts w:ascii="宋体" w:hAnsi="宋体" w:cs="宋体"/>
                <w:color w:val="auto"/>
                <w:kern w:val="0"/>
                <w:sz w:val="21"/>
                <w:szCs w:val="21"/>
              </w:rPr>
            </w:pPr>
            <w:r>
              <w:rPr>
                <w:rFonts w:hint="eastAsia" w:ascii="宋体" w:hAnsi="宋体" w:cs="宋体"/>
                <w:color w:val="auto"/>
                <w:kern w:val="0"/>
                <w:sz w:val="21"/>
                <w:szCs w:val="21"/>
              </w:rPr>
              <w:t>3.</w:t>
            </w:r>
            <w:r>
              <w:rPr>
                <w:rFonts w:hint="eastAsia" w:ascii="宋体" w:hAnsi="宋体" w:cs="宋体"/>
                <w:color w:val="auto"/>
                <w:spacing w:val="-1"/>
                <w:kern w:val="0"/>
                <w:sz w:val="21"/>
                <w:szCs w:val="21"/>
              </w:rPr>
              <w:t>4</w:t>
            </w:r>
            <w:r>
              <w:rPr>
                <w:rFonts w:hint="eastAsia" w:ascii="宋体" w:hAnsi="宋体" w:cs="宋体"/>
                <w:color w:val="auto"/>
                <w:kern w:val="0"/>
                <w:sz w:val="21"/>
                <w:szCs w:val="21"/>
              </w:rPr>
              <w:t>.1 评审</w:t>
            </w:r>
            <w:r>
              <w:rPr>
                <w:rFonts w:hint="eastAsia" w:ascii="宋体" w:hAnsi="宋体" w:cs="宋体"/>
                <w:color w:val="auto"/>
                <w:spacing w:val="1"/>
                <w:kern w:val="0"/>
                <w:sz w:val="21"/>
                <w:szCs w:val="21"/>
              </w:rPr>
              <w:t>委</w:t>
            </w:r>
            <w:r>
              <w:rPr>
                <w:rFonts w:hint="eastAsia" w:ascii="宋体" w:hAnsi="宋体" w:cs="宋体"/>
                <w:color w:val="auto"/>
                <w:kern w:val="0"/>
                <w:sz w:val="21"/>
                <w:szCs w:val="21"/>
              </w:rPr>
              <w:t>员会按经评审的最低价法推荐中选候选人。</w:t>
            </w:r>
          </w:p>
          <w:p>
            <w:pPr>
              <w:spacing w:line="360" w:lineRule="auto"/>
              <w:ind w:firstLine="0" w:firstLineChars="0"/>
              <w:jc w:val="left"/>
              <w:rPr>
                <w:rFonts w:ascii="宋体" w:hAnsi="宋体" w:cs="宋体"/>
                <w:color w:val="auto"/>
                <w:sz w:val="21"/>
                <w:szCs w:val="21"/>
              </w:rPr>
            </w:pPr>
            <w:r>
              <w:rPr>
                <w:rFonts w:hint="eastAsia" w:ascii="宋体" w:hAnsi="宋体" w:cs="宋体"/>
                <w:color w:val="auto"/>
                <w:spacing w:val="1"/>
                <w:kern w:val="0"/>
                <w:sz w:val="21"/>
                <w:szCs w:val="21"/>
              </w:rPr>
              <w:t>3</w:t>
            </w:r>
            <w:r>
              <w:rPr>
                <w:rFonts w:hint="eastAsia" w:ascii="宋体" w:hAnsi="宋体" w:cs="宋体"/>
                <w:color w:val="auto"/>
                <w:kern w:val="0"/>
                <w:sz w:val="21"/>
                <w:szCs w:val="21"/>
              </w:rPr>
              <w:t>.4.2 评审</w:t>
            </w:r>
            <w:r>
              <w:rPr>
                <w:rFonts w:hint="eastAsia" w:ascii="宋体" w:hAnsi="宋体" w:cs="宋体"/>
                <w:color w:val="auto"/>
                <w:spacing w:val="-1"/>
                <w:kern w:val="0"/>
                <w:sz w:val="21"/>
                <w:szCs w:val="21"/>
              </w:rPr>
              <w:t>委</w:t>
            </w:r>
            <w:r>
              <w:rPr>
                <w:rFonts w:hint="eastAsia" w:ascii="宋体" w:hAnsi="宋体" w:cs="宋体"/>
                <w:color w:val="auto"/>
                <w:kern w:val="0"/>
                <w:sz w:val="21"/>
                <w:szCs w:val="21"/>
              </w:rPr>
              <w:t>员会完成评审后，应当向比选人提交书面评审报告。</w:t>
            </w:r>
          </w:p>
        </w:tc>
      </w:tr>
    </w:tbl>
    <w:p>
      <w:pPr>
        <w:ind w:firstLine="420"/>
        <w:rPr>
          <w:rFonts w:ascii="宋体" w:hAnsi="宋体" w:cs="宋体"/>
          <w:snapToGrid w:val="0"/>
          <w:color w:val="auto"/>
          <w:sz w:val="21"/>
          <w:szCs w:val="21"/>
        </w:rPr>
      </w:pPr>
      <w:r>
        <w:rPr>
          <w:rFonts w:hint="eastAsia" w:ascii="宋体" w:hAnsi="宋体" w:cs="宋体"/>
          <w:snapToGrid w:val="0"/>
          <w:color w:val="auto"/>
          <w:sz w:val="21"/>
          <w:szCs w:val="21"/>
        </w:rPr>
        <w:br w:type="page"/>
      </w:r>
    </w:p>
    <w:p>
      <w:pPr>
        <w:pStyle w:val="4"/>
        <w:rPr>
          <w:color w:val="auto"/>
          <w:highlight w:val="none"/>
        </w:rPr>
      </w:pPr>
      <w:bookmarkStart w:id="70" w:name="_Toc25275"/>
      <w:bookmarkStart w:id="71" w:name="_Toc2724"/>
      <w:bookmarkStart w:id="72" w:name="_Toc32646"/>
      <w:r>
        <w:rPr>
          <w:color w:val="auto"/>
          <w:highlight w:val="none"/>
        </w:rPr>
        <w:t>1.</w:t>
      </w:r>
      <w:r>
        <w:rPr>
          <w:rFonts w:hint="eastAsia"/>
          <w:color w:val="auto"/>
          <w:highlight w:val="none"/>
        </w:rPr>
        <w:t xml:space="preserve"> 评审</w:t>
      </w:r>
      <w:r>
        <w:rPr>
          <w:color w:val="auto"/>
          <w:highlight w:val="none"/>
        </w:rPr>
        <w:t>方法</w:t>
      </w:r>
      <w:bookmarkEnd w:id="70"/>
      <w:bookmarkEnd w:id="71"/>
      <w:bookmarkEnd w:id="72"/>
    </w:p>
    <w:p>
      <w:pPr>
        <w:ind w:firstLine="480"/>
        <w:rPr>
          <w:color w:val="auto"/>
          <w:highlight w:val="none"/>
        </w:rPr>
      </w:pPr>
      <w:r>
        <w:rPr>
          <w:rFonts w:hint="eastAsia"/>
          <w:color w:val="auto"/>
          <w:highlight w:val="none"/>
        </w:rPr>
        <w:t>本次评审采用经评审的最低价法，评审委员会按照本章第2.1 条进行报价排序，按照本章第2.2 条进行符合性审查，符合性审查合格的参选人中按报价由低到高推荐中选候选人。若出现参选人参选报价相同的，以评审办法前附表约定的原则确定排序。</w:t>
      </w:r>
    </w:p>
    <w:p>
      <w:pPr>
        <w:pStyle w:val="4"/>
        <w:rPr>
          <w:color w:val="auto"/>
          <w:highlight w:val="none"/>
        </w:rPr>
      </w:pPr>
      <w:bookmarkStart w:id="73" w:name="_Toc2555"/>
      <w:bookmarkStart w:id="74" w:name="_Toc15579"/>
      <w:bookmarkStart w:id="75" w:name="_Toc10761"/>
      <w:r>
        <w:rPr>
          <w:color w:val="auto"/>
          <w:highlight w:val="none"/>
        </w:rPr>
        <w:t>2.</w:t>
      </w:r>
      <w:r>
        <w:rPr>
          <w:rFonts w:hint="eastAsia"/>
          <w:color w:val="auto"/>
          <w:highlight w:val="none"/>
        </w:rPr>
        <w:t xml:space="preserve"> </w:t>
      </w:r>
      <w:r>
        <w:rPr>
          <w:color w:val="auto"/>
          <w:highlight w:val="none"/>
        </w:rPr>
        <w:t>评审标准</w:t>
      </w:r>
      <w:bookmarkEnd w:id="73"/>
      <w:bookmarkEnd w:id="74"/>
      <w:bookmarkEnd w:id="75"/>
    </w:p>
    <w:p>
      <w:pPr>
        <w:pStyle w:val="5"/>
        <w:ind w:firstLine="482"/>
        <w:rPr>
          <w:color w:val="auto"/>
          <w:highlight w:val="none"/>
        </w:rPr>
      </w:pPr>
      <w:bookmarkStart w:id="76" w:name="_Toc28770"/>
      <w:r>
        <w:rPr>
          <w:color w:val="auto"/>
          <w:highlight w:val="none"/>
        </w:rPr>
        <w:t>2.1</w:t>
      </w:r>
      <w:r>
        <w:rPr>
          <w:rFonts w:hint="eastAsia"/>
          <w:color w:val="auto"/>
          <w:highlight w:val="none"/>
        </w:rPr>
        <w:t xml:space="preserve"> 报价</w:t>
      </w:r>
      <w:r>
        <w:rPr>
          <w:color w:val="auto"/>
          <w:highlight w:val="none"/>
        </w:rPr>
        <w:t>排序</w:t>
      </w:r>
      <w:r>
        <w:rPr>
          <w:rFonts w:hint="eastAsia"/>
          <w:color w:val="auto"/>
          <w:highlight w:val="none"/>
        </w:rPr>
        <w:t>标准</w:t>
      </w:r>
      <w:bookmarkEnd w:id="76"/>
    </w:p>
    <w:p>
      <w:pPr>
        <w:ind w:firstLine="480"/>
        <w:rPr>
          <w:color w:val="auto"/>
          <w:highlight w:val="none"/>
        </w:rPr>
      </w:pPr>
      <w:r>
        <w:rPr>
          <w:rFonts w:hint="eastAsia"/>
          <w:color w:val="auto"/>
          <w:highlight w:val="none"/>
        </w:rPr>
        <w:t>见评审办法前附表。</w:t>
      </w:r>
    </w:p>
    <w:p>
      <w:pPr>
        <w:pStyle w:val="5"/>
        <w:ind w:firstLine="482"/>
        <w:rPr>
          <w:color w:val="auto"/>
          <w:highlight w:val="none"/>
        </w:rPr>
      </w:pPr>
      <w:bookmarkStart w:id="77" w:name="_Toc15271"/>
      <w:r>
        <w:rPr>
          <w:color w:val="auto"/>
          <w:highlight w:val="none"/>
        </w:rPr>
        <w:t>2.</w:t>
      </w:r>
      <w:r>
        <w:rPr>
          <w:rFonts w:hint="eastAsia"/>
          <w:color w:val="auto"/>
          <w:highlight w:val="none"/>
        </w:rPr>
        <w:t>2 符合性审查标准</w:t>
      </w:r>
      <w:bookmarkEnd w:id="77"/>
    </w:p>
    <w:p>
      <w:pPr>
        <w:ind w:firstLine="480"/>
        <w:rPr>
          <w:color w:val="auto"/>
          <w:highlight w:val="none"/>
        </w:rPr>
      </w:pPr>
      <w:r>
        <w:rPr>
          <w:rFonts w:hint="eastAsia"/>
          <w:color w:val="auto"/>
          <w:highlight w:val="none"/>
        </w:rPr>
        <w:t>按评审办法前附表约定的参选单位报价排序数量进行符合性审查。符合性审查内容：资格评审、形式评审、响应性评审。</w:t>
      </w:r>
    </w:p>
    <w:p>
      <w:pPr>
        <w:ind w:firstLine="480"/>
        <w:rPr>
          <w:color w:val="auto"/>
          <w:highlight w:val="none"/>
        </w:rPr>
      </w:pPr>
      <w:r>
        <w:rPr>
          <w:color w:val="auto"/>
          <w:highlight w:val="none"/>
        </w:rPr>
        <w:t>2.</w:t>
      </w:r>
      <w:r>
        <w:rPr>
          <w:rFonts w:hint="eastAsia"/>
          <w:color w:val="auto"/>
          <w:highlight w:val="none"/>
        </w:rPr>
        <w:t>2</w:t>
      </w:r>
      <w:r>
        <w:rPr>
          <w:color w:val="auto"/>
          <w:highlight w:val="none"/>
        </w:rPr>
        <w:t>.</w:t>
      </w:r>
      <w:r>
        <w:rPr>
          <w:rFonts w:hint="eastAsia"/>
          <w:color w:val="auto"/>
          <w:highlight w:val="none"/>
        </w:rPr>
        <w:t>1 资格评审标准：见评审办法前附表。</w:t>
      </w:r>
    </w:p>
    <w:p>
      <w:pPr>
        <w:ind w:firstLine="480"/>
        <w:rPr>
          <w:color w:val="auto"/>
          <w:highlight w:val="none"/>
        </w:rPr>
      </w:pPr>
      <w:r>
        <w:rPr>
          <w:color w:val="auto"/>
          <w:highlight w:val="none"/>
        </w:rPr>
        <w:t>2.</w:t>
      </w:r>
      <w:r>
        <w:rPr>
          <w:rFonts w:hint="eastAsia"/>
          <w:color w:val="auto"/>
          <w:highlight w:val="none"/>
        </w:rPr>
        <w:t>2</w:t>
      </w:r>
      <w:r>
        <w:rPr>
          <w:color w:val="auto"/>
          <w:highlight w:val="none"/>
        </w:rPr>
        <w:t>.</w:t>
      </w:r>
      <w:r>
        <w:rPr>
          <w:rFonts w:hint="eastAsia"/>
          <w:color w:val="auto"/>
          <w:highlight w:val="none"/>
        </w:rPr>
        <w:t>2 形式评审标准：见评审办法前附表。</w:t>
      </w:r>
    </w:p>
    <w:p>
      <w:pPr>
        <w:ind w:firstLine="480"/>
        <w:rPr>
          <w:color w:val="auto"/>
          <w:highlight w:val="none"/>
        </w:rPr>
      </w:pPr>
      <w:r>
        <w:rPr>
          <w:color w:val="auto"/>
          <w:highlight w:val="none"/>
        </w:rPr>
        <w:t>2.</w:t>
      </w:r>
      <w:r>
        <w:rPr>
          <w:rFonts w:hint="eastAsia"/>
          <w:color w:val="auto"/>
          <w:highlight w:val="none"/>
        </w:rPr>
        <w:t>2</w:t>
      </w:r>
      <w:r>
        <w:rPr>
          <w:color w:val="auto"/>
          <w:highlight w:val="none"/>
        </w:rPr>
        <w:t>.</w:t>
      </w:r>
      <w:r>
        <w:rPr>
          <w:rFonts w:hint="eastAsia"/>
          <w:color w:val="auto"/>
          <w:highlight w:val="none"/>
        </w:rPr>
        <w:t>3 响应性评审标准：见评审办法前附表。</w:t>
      </w:r>
    </w:p>
    <w:p>
      <w:pPr>
        <w:pStyle w:val="4"/>
        <w:rPr>
          <w:color w:val="auto"/>
          <w:highlight w:val="none"/>
        </w:rPr>
      </w:pPr>
      <w:bookmarkStart w:id="78" w:name="_Toc26015"/>
      <w:bookmarkStart w:id="79" w:name="_Toc26445"/>
      <w:bookmarkStart w:id="80" w:name="_Toc7105"/>
      <w:r>
        <w:rPr>
          <w:color w:val="auto"/>
          <w:highlight w:val="none"/>
        </w:rPr>
        <w:t>3.</w:t>
      </w:r>
      <w:r>
        <w:rPr>
          <w:rFonts w:hint="eastAsia"/>
          <w:color w:val="auto"/>
          <w:highlight w:val="none"/>
        </w:rPr>
        <w:t xml:space="preserve"> 评审</w:t>
      </w:r>
      <w:r>
        <w:rPr>
          <w:color w:val="auto"/>
          <w:highlight w:val="none"/>
        </w:rPr>
        <w:t>程序</w:t>
      </w:r>
      <w:bookmarkEnd w:id="78"/>
      <w:bookmarkEnd w:id="79"/>
      <w:bookmarkEnd w:id="80"/>
    </w:p>
    <w:p>
      <w:pPr>
        <w:pStyle w:val="5"/>
        <w:ind w:firstLine="482"/>
        <w:rPr>
          <w:color w:val="auto"/>
          <w:highlight w:val="none"/>
        </w:rPr>
      </w:pPr>
      <w:bookmarkStart w:id="81" w:name="_Toc28367"/>
      <w:r>
        <w:rPr>
          <w:color w:val="auto"/>
          <w:highlight w:val="none"/>
        </w:rPr>
        <w:t>3.1</w:t>
      </w:r>
      <w:r>
        <w:rPr>
          <w:rFonts w:hint="eastAsia"/>
          <w:color w:val="auto"/>
          <w:highlight w:val="none"/>
        </w:rPr>
        <w:t xml:space="preserve"> 报价排序</w:t>
      </w:r>
      <w:bookmarkEnd w:id="81"/>
    </w:p>
    <w:p>
      <w:pPr>
        <w:ind w:firstLine="480"/>
        <w:rPr>
          <w:color w:val="auto"/>
          <w:highlight w:val="none"/>
        </w:rPr>
      </w:pPr>
      <w:r>
        <w:rPr>
          <w:rFonts w:hint="eastAsia"/>
          <w:color w:val="auto"/>
          <w:highlight w:val="none"/>
        </w:rPr>
        <w:t>对报价不高于最高限价的所有参选人的参选文件，按照报价由低到高的顺序排序。</w:t>
      </w:r>
    </w:p>
    <w:p>
      <w:pPr>
        <w:pStyle w:val="5"/>
        <w:ind w:firstLine="482"/>
        <w:rPr>
          <w:color w:val="auto"/>
          <w:highlight w:val="none"/>
        </w:rPr>
      </w:pPr>
      <w:bookmarkStart w:id="82" w:name="_Toc19164"/>
      <w:r>
        <w:rPr>
          <w:color w:val="auto"/>
          <w:highlight w:val="none"/>
        </w:rPr>
        <w:t>3.</w:t>
      </w:r>
      <w:r>
        <w:rPr>
          <w:rFonts w:hint="eastAsia"/>
          <w:color w:val="auto"/>
          <w:highlight w:val="none"/>
        </w:rPr>
        <w:t>2 符合性审查</w:t>
      </w:r>
      <w:bookmarkEnd w:id="82"/>
    </w:p>
    <w:p>
      <w:pPr>
        <w:ind w:firstLine="480"/>
        <w:rPr>
          <w:color w:val="auto"/>
          <w:highlight w:val="none"/>
        </w:rPr>
      </w:pPr>
      <w:r>
        <w:rPr>
          <w:color w:val="auto"/>
          <w:highlight w:val="none"/>
        </w:rPr>
        <w:t>3.</w:t>
      </w:r>
      <w:r>
        <w:rPr>
          <w:rFonts w:hint="eastAsia"/>
          <w:color w:val="auto"/>
          <w:highlight w:val="none"/>
        </w:rPr>
        <w:t>2</w:t>
      </w:r>
      <w:r>
        <w:rPr>
          <w:color w:val="auto"/>
          <w:highlight w:val="none"/>
        </w:rPr>
        <w:t>.1</w:t>
      </w:r>
      <w:r>
        <w:rPr>
          <w:rFonts w:hint="eastAsia"/>
          <w:color w:val="auto"/>
          <w:highlight w:val="none"/>
        </w:rPr>
        <w:t xml:space="preserve"> 评审</w:t>
      </w:r>
      <w:r>
        <w:rPr>
          <w:color w:val="auto"/>
          <w:highlight w:val="none"/>
        </w:rPr>
        <w:t>委员会依据本章第2.</w:t>
      </w:r>
      <w:r>
        <w:rPr>
          <w:rFonts w:hint="eastAsia"/>
          <w:color w:val="auto"/>
          <w:highlight w:val="none"/>
        </w:rPr>
        <w:t>2</w:t>
      </w:r>
      <w:r>
        <w:rPr>
          <w:color w:val="auto"/>
          <w:highlight w:val="none"/>
        </w:rPr>
        <w:t xml:space="preserve"> </w:t>
      </w:r>
      <w:r>
        <w:rPr>
          <w:rFonts w:hint="eastAsia"/>
          <w:color w:val="auto"/>
          <w:highlight w:val="none"/>
        </w:rPr>
        <w:t>条规定的标准对参选文件进行符合性审查。符合性审查顺序：资格评审、形式评审、响应性评审。</w:t>
      </w:r>
    </w:p>
    <w:p>
      <w:pPr>
        <w:ind w:firstLine="480"/>
        <w:rPr>
          <w:color w:val="auto"/>
          <w:highlight w:val="none"/>
        </w:rPr>
      </w:pPr>
      <w:r>
        <w:rPr>
          <w:rFonts w:hint="eastAsia"/>
          <w:color w:val="auto"/>
          <w:highlight w:val="none"/>
        </w:rPr>
        <w:t>有一项不符合评审标准的，作否决参选处理。</w:t>
      </w:r>
    </w:p>
    <w:p>
      <w:pPr>
        <w:ind w:firstLine="480"/>
        <w:rPr>
          <w:color w:val="auto"/>
          <w:highlight w:val="none"/>
        </w:rPr>
      </w:pPr>
      <w:r>
        <w:rPr>
          <w:color w:val="auto"/>
          <w:highlight w:val="none"/>
        </w:rPr>
        <w:t>3.</w:t>
      </w:r>
      <w:r>
        <w:rPr>
          <w:rFonts w:hint="eastAsia"/>
          <w:color w:val="auto"/>
          <w:highlight w:val="none"/>
        </w:rPr>
        <w:t>2</w:t>
      </w:r>
      <w:r>
        <w:rPr>
          <w:color w:val="auto"/>
          <w:highlight w:val="none"/>
        </w:rPr>
        <w:t xml:space="preserve">.2 </w:t>
      </w:r>
      <w:r>
        <w:rPr>
          <w:rFonts w:hint="eastAsia"/>
          <w:color w:val="auto"/>
          <w:highlight w:val="none"/>
        </w:rPr>
        <w:t>参选人</w:t>
      </w:r>
      <w:r>
        <w:rPr>
          <w:color w:val="auto"/>
          <w:highlight w:val="none"/>
        </w:rPr>
        <w:t>有以下情形之一的，</w:t>
      </w:r>
      <w:r>
        <w:rPr>
          <w:rFonts w:hint="eastAsia"/>
          <w:color w:val="auto"/>
          <w:highlight w:val="none"/>
        </w:rPr>
        <w:t>其参选文件将被否决：</w:t>
      </w:r>
    </w:p>
    <w:p>
      <w:pPr>
        <w:ind w:firstLine="480"/>
        <w:rPr>
          <w:color w:val="auto"/>
          <w:highlight w:val="none"/>
        </w:rPr>
      </w:pPr>
      <w:r>
        <w:rPr>
          <w:rFonts w:hint="eastAsia"/>
          <w:color w:val="auto"/>
          <w:highlight w:val="none"/>
        </w:rPr>
        <w:t>3.2.2.1 有</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9 条以及第11 条</w:t>
      </w:r>
      <w:r>
        <w:rPr>
          <w:color w:val="auto"/>
          <w:highlight w:val="none"/>
        </w:rPr>
        <w:t>规定的任何一种情形的；</w:t>
      </w:r>
    </w:p>
    <w:p>
      <w:pPr>
        <w:ind w:firstLine="480"/>
        <w:rPr>
          <w:color w:val="auto"/>
          <w:highlight w:val="none"/>
        </w:rPr>
      </w:pPr>
      <w:r>
        <w:rPr>
          <w:rFonts w:hint="eastAsia"/>
          <w:color w:val="auto"/>
          <w:highlight w:val="none"/>
        </w:rPr>
        <w:t>3.2.2.2 有串通参选、弄虚作假等其他违反相关法律、法规行为的；</w:t>
      </w:r>
    </w:p>
    <w:p>
      <w:pPr>
        <w:ind w:firstLine="480"/>
        <w:rPr>
          <w:color w:val="auto"/>
          <w:highlight w:val="none"/>
        </w:rPr>
      </w:pPr>
      <w:r>
        <w:rPr>
          <w:rFonts w:hint="eastAsia"/>
          <w:color w:val="auto"/>
          <w:highlight w:val="none"/>
        </w:rPr>
        <w:t>3.2.2.3 不按评审委员会要求澄清、说明或补正的。</w:t>
      </w:r>
    </w:p>
    <w:p>
      <w:pPr>
        <w:ind w:firstLine="480"/>
        <w:rPr>
          <w:color w:val="auto"/>
          <w:highlight w:val="none"/>
        </w:rPr>
      </w:pPr>
      <w:r>
        <w:rPr>
          <w:rFonts w:hint="eastAsia"/>
          <w:color w:val="auto"/>
          <w:highlight w:val="none"/>
        </w:rPr>
        <w:t>3.2.3 参选报价有算术错误的，评审委员会按以下原则对参选报价进行修正，修正的价格经参选人书面确认后具有约束力。参选人不接受修正价格的，其参选作否决参选处理。修正原则见</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4.7 条。</w:t>
      </w:r>
    </w:p>
    <w:p>
      <w:pPr>
        <w:pStyle w:val="5"/>
        <w:ind w:firstLine="482"/>
        <w:rPr>
          <w:color w:val="auto"/>
          <w:highlight w:val="none"/>
        </w:rPr>
      </w:pPr>
      <w:bookmarkStart w:id="83" w:name="_Toc14647"/>
      <w:r>
        <w:rPr>
          <w:color w:val="auto"/>
          <w:highlight w:val="none"/>
        </w:rPr>
        <w:t>3.</w:t>
      </w:r>
      <w:r>
        <w:rPr>
          <w:rFonts w:hint="eastAsia"/>
          <w:color w:val="auto"/>
          <w:highlight w:val="none"/>
        </w:rPr>
        <w:t>3</w:t>
      </w:r>
      <w:r>
        <w:rPr>
          <w:color w:val="auto"/>
          <w:highlight w:val="none"/>
        </w:rPr>
        <w:t xml:space="preserve"> </w:t>
      </w:r>
      <w:r>
        <w:rPr>
          <w:rFonts w:hint="eastAsia"/>
          <w:color w:val="auto"/>
          <w:highlight w:val="none"/>
        </w:rPr>
        <w:t>参选文件的澄清和补正</w:t>
      </w:r>
      <w:bookmarkEnd w:id="83"/>
    </w:p>
    <w:p>
      <w:pPr>
        <w:ind w:firstLine="48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pPr>
        <w:ind w:firstLine="48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澄清、说明和补正不得改变参选文件的实质性内容（算术性错误修正的除外）。参选人的书面澄清、说明和补正属于参选文件的组成部分。</w:t>
      </w:r>
    </w:p>
    <w:p>
      <w:pPr>
        <w:ind w:firstLine="48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rPr>
        <w:t>评审委员会对参选人提交的澄清、说明或补正有疑问的，可以要求参选人进一步澄清、说明或补正，直至满足评审委员会的要求。</w:t>
      </w:r>
    </w:p>
    <w:p>
      <w:pPr>
        <w:pStyle w:val="5"/>
        <w:ind w:firstLine="482"/>
        <w:rPr>
          <w:color w:val="auto"/>
          <w:highlight w:val="none"/>
        </w:rPr>
      </w:pPr>
      <w:bookmarkStart w:id="84" w:name="_Toc25249"/>
      <w:bookmarkStart w:id="85" w:name="_Toc479262406"/>
      <w:bookmarkStart w:id="86" w:name="_Toc484465184"/>
      <w:r>
        <w:rPr>
          <w:color w:val="auto"/>
          <w:highlight w:val="none"/>
        </w:rPr>
        <w:t>3.</w:t>
      </w:r>
      <w:r>
        <w:rPr>
          <w:rFonts w:hint="eastAsia"/>
          <w:color w:val="auto"/>
          <w:highlight w:val="none"/>
        </w:rPr>
        <w:t>4</w:t>
      </w:r>
      <w:r>
        <w:rPr>
          <w:color w:val="auto"/>
          <w:highlight w:val="none"/>
        </w:rPr>
        <w:t xml:space="preserve"> </w:t>
      </w:r>
      <w:r>
        <w:rPr>
          <w:rFonts w:hint="eastAsia"/>
          <w:color w:val="auto"/>
          <w:highlight w:val="none"/>
        </w:rPr>
        <w:t>评审结果</w:t>
      </w:r>
      <w:bookmarkEnd w:id="84"/>
      <w:bookmarkEnd w:id="85"/>
      <w:bookmarkEnd w:id="86"/>
    </w:p>
    <w:p>
      <w:pPr>
        <w:ind w:firstLine="480"/>
        <w:rPr>
          <w:color w:val="auto"/>
          <w:highlight w:val="none"/>
        </w:rPr>
      </w:pPr>
      <w:r>
        <w:rPr>
          <w:color w:val="auto"/>
          <w:highlight w:val="none"/>
        </w:rPr>
        <w:t>3.</w:t>
      </w:r>
      <w:r>
        <w:rPr>
          <w:rFonts w:hint="eastAsia"/>
          <w:color w:val="auto"/>
          <w:highlight w:val="none"/>
        </w:rPr>
        <w:t>4</w:t>
      </w:r>
      <w:r>
        <w:rPr>
          <w:color w:val="auto"/>
          <w:highlight w:val="none"/>
        </w:rPr>
        <w:t>.1</w:t>
      </w:r>
      <w:r>
        <w:rPr>
          <w:rFonts w:hint="eastAsia"/>
          <w:color w:val="auto"/>
          <w:highlight w:val="none"/>
        </w:rPr>
        <w:t xml:space="preserve"> 评审委员会按经评审的最低价法推荐中选候选人。</w:t>
      </w:r>
    </w:p>
    <w:p>
      <w:pPr>
        <w:ind w:firstLine="480"/>
        <w:rPr>
          <w:color w:val="auto"/>
          <w:highlight w:val="none"/>
        </w:rPr>
      </w:pPr>
      <w:r>
        <w:rPr>
          <w:color w:val="auto"/>
          <w:highlight w:val="none"/>
        </w:rPr>
        <w:t>3.</w:t>
      </w:r>
      <w:r>
        <w:rPr>
          <w:rFonts w:hint="eastAsia"/>
          <w:color w:val="auto"/>
          <w:highlight w:val="none"/>
        </w:rPr>
        <w:t>4</w:t>
      </w:r>
      <w:r>
        <w:rPr>
          <w:color w:val="auto"/>
          <w:highlight w:val="none"/>
        </w:rPr>
        <w:t>.2</w:t>
      </w:r>
      <w:r>
        <w:rPr>
          <w:rFonts w:hint="eastAsia"/>
          <w:color w:val="auto"/>
          <w:highlight w:val="none"/>
        </w:rPr>
        <w:t xml:space="preserve"> 评审委员会完成评审后，应当向比选人提交书面评审报告和中选候选人名单。</w:t>
      </w:r>
    </w:p>
    <w:p>
      <w:pPr>
        <w:ind w:firstLine="480"/>
        <w:rPr>
          <w:color w:val="auto"/>
          <w:highlight w:val="none"/>
        </w:rPr>
      </w:pPr>
      <w:r>
        <w:rPr>
          <w:rFonts w:hint="eastAsia"/>
          <w:color w:val="auto"/>
          <w:highlight w:val="none"/>
        </w:rPr>
        <w:t>3.4.3 有效参选不足两个的，经评审委员会判定，参选人具有相对行业竞争力的，可继续进行评审。</w:t>
      </w:r>
    </w:p>
    <w:p>
      <w:pPr>
        <w:pStyle w:val="5"/>
        <w:ind w:firstLine="482"/>
        <w:rPr>
          <w:color w:val="auto"/>
          <w:highlight w:val="none"/>
        </w:rPr>
      </w:pPr>
      <w:r>
        <w:rPr>
          <w:rFonts w:hint="eastAsia"/>
          <w:color w:val="auto"/>
          <w:highlight w:val="none"/>
        </w:rPr>
        <w:t>3.5 对评审委员会成员的纪律要求</w:t>
      </w:r>
    </w:p>
    <w:p>
      <w:pPr>
        <w:ind w:firstLine="480"/>
        <w:rPr>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5"/>
        <w:ind w:firstLine="482"/>
        <w:rPr>
          <w:color w:val="auto"/>
          <w:highlight w:val="none"/>
        </w:rPr>
      </w:pPr>
      <w:r>
        <w:rPr>
          <w:rFonts w:hint="eastAsia"/>
          <w:color w:val="auto"/>
          <w:highlight w:val="none"/>
        </w:rPr>
        <w:t>3.6 对与评审活动有关的工作人员的纪律要求</w:t>
      </w:r>
    </w:p>
    <w:p>
      <w:pPr>
        <w:ind w:firstLine="480"/>
        <w:rPr>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pPr>
        <w:ind w:firstLine="420"/>
        <w:rPr>
          <w:rFonts w:ascii="宋体" w:hAnsi="宋体" w:cs="Times New Roman"/>
          <w:color w:val="auto"/>
          <w:kern w:val="0"/>
          <w:sz w:val="21"/>
          <w:szCs w:val="21"/>
        </w:rPr>
      </w:pPr>
      <w:r>
        <w:rPr>
          <w:rFonts w:hint="eastAsia" w:ascii="宋体" w:hAnsi="宋体" w:cs="Times New Roman"/>
          <w:color w:val="auto"/>
          <w:kern w:val="0"/>
          <w:sz w:val="21"/>
          <w:szCs w:val="21"/>
        </w:rPr>
        <w:br w:type="page"/>
      </w:r>
    </w:p>
    <w:bookmarkEnd w:id="67"/>
    <w:bookmarkEnd w:id="68"/>
    <w:bookmarkEnd w:id="69"/>
    <w:p>
      <w:pPr>
        <w:pStyle w:val="3"/>
        <w:rPr>
          <w:color w:val="auto"/>
        </w:rPr>
      </w:pPr>
      <w:bookmarkStart w:id="87" w:name="_Toc14879"/>
      <w:bookmarkStart w:id="88" w:name="_Toc150953074"/>
      <w:bookmarkStart w:id="89" w:name="_Toc303066034"/>
      <w:bookmarkStart w:id="90" w:name="_Toc89675170"/>
      <w:r>
        <w:rPr>
          <w:rFonts w:hint="eastAsia"/>
          <w:color w:val="auto"/>
        </w:rPr>
        <w:t>第五章 合同</w:t>
      </w:r>
      <w:r>
        <w:rPr>
          <w:color w:val="auto"/>
        </w:rPr>
        <w:t>模板</w:t>
      </w:r>
      <w:bookmarkEnd w:id="87"/>
      <w:bookmarkEnd w:id="88"/>
    </w:p>
    <w:p>
      <w:pPr>
        <w:spacing w:line="360" w:lineRule="auto"/>
        <w:ind w:firstLine="480"/>
        <w:rPr>
          <w:rFonts w:ascii="宋体" w:cs="宋体"/>
          <w:snapToGrid w:val="0"/>
          <w:color w:val="auto"/>
          <w:kern w:val="0"/>
          <w:szCs w:val="24"/>
        </w:rPr>
      </w:pPr>
      <w:r>
        <w:rPr>
          <w:rFonts w:ascii="宋体" w:cs="宋体"/>
          <w:snapToGrid w:val="0"/>
          <w:color w:val="auto"/>
          <w:kern w:val="0"/>
          <w:szCs w:val="24"/>
        </w:rPr>
        <w:t>（本章节合同条款及格式仅供参考，若比选文件与最终签订合同约定不一致，以最终签订合同的约定为准）</w:t>
      </w:r>
    </w:p>
    <w:p>
      <w:pPr>
        <w:spacing w:line="360" w:lineRule="auto"/>
        <w:ind w:firstLine="0" w:firstLineChars="0"/>
        <w:jc w:val="center"/>
        <w:rPr>
          <w:rFonts w:ascii="宋体"/>
          <w:b/>
          <w:bCs/>
          <w:color w:val="auto"/>
          <w:sz w:val="44"/>
          <w:szCs w:val="44"/>
        </w:rPr>
      </w:pPr>
      <w:r>
        <w:rPr>
          <w:rFonts w:hint="eastAsia" w:ascii="宋体"/>
          <w:b/>
          <w:bCs/>
          <w:color w:val="auto"/>
          <w:sz w:val="44"/>
          <w:szCs w:val="44"/>
        </w:rPr>
        <w:t>重庆三峡银行股份有限公司</w:t>
      </w:r>
    </w:p>
    <w:p>
      <w:pPr>
        <w:spacing w:line="360" w:lineRule="auto"/>
        <w:ind w:firstLine="0" w:firstLineChars="0"/>
        <w:jc w:val="center"/>
        <w:rPr>
          <w:rFonts w:ascii="宋体"/>
          <w:b/>
          <w:bCs/>
          <w:color w:val="auto"/>
          <w:sz w:val="44"/>
          <w:szCs w:val="44"/>
        </w:rPr>
      </w:pPr>
    </w:p>
    <w:p>
      <w:pPr>
        <w:spacing w:line="360" w:lineRule="auto"/>
        <w:ind w:firstLine="0" w:firstLineChars="0"/>
        <w:jc w:val="center"/>
        <w:rPr>
          <w:rFonts w:ascii="宋体"/>
          <w:b/>
          <w:bCs/>
          <w:color w:val="auto"/>
          <w:sz w:val="44"/>
          <w:szCs w:val="44"/>
        </w:rPr>
      </w:pPr>
      <w:r>
        <w:rPr>
          <w:rFonts w:hint="eastAsia" w:ascii="宋体"/>
          <w:b/>
          <w:bCs/>
          <w:color w:val="auto"/>
          <w:sz w:val="44"/>
          <w:szCs w:val="44"/>
        </w:rPr>
        <w:t>与</w:t>
      </w:r>
    </w:p>
    <w:p>
      <w:pPr>
        <w:spacing w:line="360" w:lineRule="auto"/>
        <w:ind w:firstLine="0" w:firstLineChars="0"/>
        <w:jc w:val="center"/>
        <w:rPr>
          <w:rFonts w:ascii="宋体"/>
          <w:b/>
          <w:bCs/>
          <w:color w:val="auto"/>
          <w:sz w:val="44"/>
          <w:szCs w:val="44"/>
        </w:rPr>
      </w:pPr>
    </w:p>
    <w:p>
      <w:pPr>
        <w:spacing w:line="360" w:lineRule="auto"/>
        <w:ind w:firstLine="0" w:firstLineChars="0"/>
        <w:jc w:val="center"/>
        <w:rPr>
          <w:rFonts w:ascii="宋体"/>
          <w:b/>
          <w:bCs/>
          <w:color w:val="auto"/>
          <w:sz w:val="44"/>
          <w:szCs w:val="44"/>
        </w:rPr>
      </w:pPr>
      <w:r>
        <w:rPr>
          <w:rFonts w:hint="eastAsia" w:ascii="宋体"/>
          <w:b/>
          <w:bCs/>
          <w:color w:val="auto"/>
          <w:sz w:val="44"/>
          <w:szCs w:val="44"/>
        </w:rPr>
        <w:t>xxxxx公司</w:t>
      </w:r>
    </w:p>
    <w:p>
      <w:pPr>
        <w:spacing w:line="360" w:lineRule="auto"/>
        <w:ind w:firstLine="0" w:firstLineChars="0"/>
        <w:jc w:val="center"/>
        <w:rPr>
          <w:rFonts w:ascii="宋体"/>
          <w:color w:val="auto"/>
          <w:sz w:val="32"/>
          <w:szCs w:val="32"/>
        </w:rPr>
      </w:pPr>
    </w:p>
    <w:p>
      <w:pPr>
        <w:spacing w:line="360" w:lineRule="auto"/>
        <w:ind w:firstLine="0" w:firstLineChars="0"/>
        <w:jc w:val="center"/>
        <w:rPr>
          <w:rFonts w:ascii="宋体"/>
          <w:color w:val="auto"/>
          <w:sz w:val="32"/>
          <w:szCs w:val="32"/>
        </w:rPr>
      </w:pPr>
    </w:p>
    <w:p>
      <w:pPr>
        <w:spacing w:line="360" w:lineRule="auto"/>
        <w:ind w:firstLine="0" w:firstLineChars="0"/>
        <w:jc w:val="center"/>
        <w:rPr>
          <w:rFonts w:ascii="宋体"/>
          <w:color w:val="auto"/>
          <w:sz w:val="32"/>
          <w:szCs w:val="32"/>
        </w:rPr>
      </w:pPr>
      <w:r>
        <w:rPr>
          <w:rFonts w:hint="eastAsia" w:ascii="宋体"/>
          <w:color w:val="auto"/>
          <w:sz w:val="32"/>
          <w:szCs w:val="32"/>
        </w:rPr>
        <w:t>（TAP交换机）</w:t>
      </w:r>
    </w:p>
    <w:p>
      <w:pPr>
        <w:spacing w:line="360" w:lineRule="auto"/>
        <w:ind w:firstLine="0" w:firstLineChars="0"/>
        <w:jc w:val="center"/>
        <w:rPr>
          <w:rFonts w:ascii="宋体"/>
          <w:color w:val="auto"/>
          <w:sz w:val="36"/>
          <w:szCs w:val="36"/>
        </w:rPr>
      </w:pPr>
    </w:p>
    <w:p>
      <w:pPr>
        <w:spacing w:line="360" w:lineRule="auto"/>
        <w:ind w:firstLine="0" w:firstLineChars="0"/>
        <w:jc w:val="center"/>
        <w:rPr>
          <w:rFonts w:ascii="宋体"/>
          <w:b/>
          <w:bCs/>
          <w:color w:val="auto"/>
          <w:sz w:val="48"/>
          <w:szCs w:val="48"/>
        </w:rPr>
      </w:pPr>
      <w:r>
        <w:rPr>
          <w:rFonts w:hint="eastAsia" w:ascii="宋体"/>
          <w:b/>
          <w:bCs/>
          <w:color w:val="auto"/>
          <w:sz w:val="48"/>
          <w:szCs w:val="48"/>
        </w:rPr>
        <w:t>购 销 合 同</w:t>
      </w:r>
    </w:p>
    <w:p>
      <w:pPr>
        <w:spacing w:line="360" w:lineRule="auto"/>
        <w:ind w:firstLine="0" w:firstLineChars="0"/>
        <w:rPr>
          <w:rFonts w:ascii="宋体"/>
          <w:b/>
          <w:bCs/>
          <w:color w:val="auto"/>
          <w:sz w:val="48"/>
          <w:szCs w:val="48"/>
        </w:rPr>
      </w:pPr>
    </w:p>
    <w:p>
      <w:pPr>
        <w:spacing w:line="360" w:lineRule="auto"/>
        <w:ind w:firstLine="0" w:firstLineChars="0"/>
        <w:rPr>
          <w:rFonts w:ascii="宋体"/>
          <w:b/>
          <w:bCs/>
          <w:color w:val="auto"/>
          <w:sz w:val="18"/>
          <w:szCs w:val="18"/>
        </w:rPr>
      </w:pPr>
    </w:p>
    <w:p>
      <w:pPr>
        <w:spacing w:line="360" w:lineRule="auto"/>
        <w:ind w:firstLine="0" w:firstLineChars="0"/>
        <w:rPr>
          <w:rFonts w:ascii="宋体"/>
          <w:b/>
          <w:bCs/>
          <w:color w:val="auto"/>
          <w:sz w:val="18"/>
          <w:szCs w:val="18"/>
        </w:rPr>
      </w:pPr>
    </w:p>
    <w:p>
      <w:pPr>
        <w:spacing w:line="360" w:lineRule="auto"/>
        <w:ind w:firstLine="0" w:firstLineChars="0"/>
        <w:rPr>
          <w:rFonts w:ascii="宋体"/>
          <w:b/>
          <w:bCs/>
          <w:color w:val="auto"/>
          <w:szCs w:val="28"/>
        </w:rPr>
      </w:pPr>
    </w:p>
    <w:p>
      <w:pPr>
        <w:spacing w:line="360" w:lineRule="auto"/>
        <w:ind w:firstLine="0" w:firstLineChars="0"/>
        <w:jc w:val="center"/>
        <w:rPr>
          <w:rFonts w:ascii="宋体"/>
          <w:b/>
          <w:bCs/>
          <w:color w:val="auto"/>
          <w:szCs w:val="28"/>
        </w:rPr>
      </w:pPr>
      <w:r>
        <w:rPr>
          <w:rFonts w:hint="eastAsia" w:ascii="宋体"/>
          <w:b/>
          <w:bCs/>
          <w:color w:val="auto"/>
          <w:szCs w:val="28"/>
        </w:rPr>
        <w:t>签定地点：重庆</w:t>
      </w:r>
    </w:p>
    <w:p>
      <w:pPr>
        <w:spacing w:line="360" w:lineRule="auto"/>
        <w:ind w:firstLine="0" w:firstLineChars="0"/>
        <w:jc w:val="center"/>
        <w:rPr>
          <w:rFonts w:ascii="宋体"/>
          <w:b/>
          <w:bCs/>
          <w:color w:val="auto"/>
          <w:szCs w:val="28"/>
        </w:rPr>
      </w:pPr>
    </w:p>
    <w:p>
      <w:pPr>
        <w:spacing w:line="360" w:lineRule="auto"/>
        <w:ind w:firstLine="0" w:firstLineChars="0"/>
        <w:jc w:val="center"/>
        <w:rPr>
          <w:rFonts w:ascii="宋体"/>
          <w:b/>
          <w:bCs/>
          <w:color w:val="auto"/>
          <w:szCs w:val="28"/>
        </w:rPr>
      </w:pPr>
    </w:p>
    <w:p>
      <w:pPr>
        <w:spacing w:line="360" w:lineRule="auto"/>
        <w:ind w:firstLine="0" w:firstLineChars="0"/>
        <w:jc w:val="center"/>
        <w:rPr>
          <w:rFonts w:ascii="宋体"/>
          <w:b/>
          <w:bCs/>
          <w:color w:val="auto"/>
        </w:rPr>
        <w:sectPr>
          <w:footerReference r:id="rId5" w:type="default"/>
          <w:pgSz w:w="11906" w:h="16838"/>
          <w:pgMar w:top="1440" w:right="1800" w:bottom="1440" w:left="1800" w:header="680" w:footer="680" w:gutter="0"/>
          <w:pgNumType w:fmt="decimal" w:start="1" w:chapStyle="1"/>
          <w:cols w:space="720" w:num="1"/>
          <w:docGrid w:type="lines" w:linePitch="312" w:charSpace="0"/>
        </w:sectPr>
      </w:pPr>
    </w:p>
    <w:p>
      <w:pPr>
        <w:spacing w:line="360" w:lineRule="auto"/>
        <w:ind w:firstLine="482"/>
        <w:rPr>
          <w:rFonts w:ascii="宋体"/>
          <w:b/>
          <w:bCs/>
          <w:color w:val="auto"/>
          <w:szCs w:val="24"/>
        </w:rPr>
      </w:pPr>
      <w:r>
        <w:rPr>
          <w:rFonts w:hint="eastAsia" w:ascii="宋体"/>
          <w:b/>
          <w:bCs/>
          <w:color w:val="auto"/>
        </w:rPr>
        <w:t>甲    方：重庆三峡银行股份有限公司</w:t>
      </w:r>
    </w:p>
    <w:p>
      <w:pPr>
        <w:spacing w:line="360" w:lineRule="auto"/>
        <w:ind w:firstLine="480"/>
        <w:rPr>
          <w:rFonts w:ascii="宋体"/>
          <w:b/>
          <w:bCs/>
          <w:color w:val="auto"/>
        </w:rPr>
      </w:pPr>
      <w:r>
        <w:rPr>
          <w:rFonts w:hint="eastAsia" w:ascii="宋体"/>
          <w:color w:val="auto"/>
        </w:rPr>
        <w:t>地    址：</w:t>
      </w:r>
      <w:r>
        <w:rPr>
          <w:rFonts w:hint="eastAsia" w:ascii="宋体" w:hAnsi="宋体" w:cs="Cambria"/>
          <w:snapToGrid w:val="0"/>
          <w:color w:val="auto"/>
          <w:kern w:val="0"/>
          <w:szCs w:val="24"/>
          <w:u w:val="single"/>
        </w:rPr>
        <w:t>重庆市渝北区嘉州路88号中渝国际都会4号写字楼</w:t>
      </w:r>
    </w:p>
    <w:p>
      <w:pPr>
        <w:spacing w:line="360" w:lineRule="auto"/>
        <w:ind w:firstLine="480"/>
        <w:rPr>
          <w:rFonts w:ascii="宋体"/>
          <w:bCs/>
          <w:color w:val="auto"/>
        </w:rPr>
      </w:pPr>
      <w:r>
        <w:rPr>
          <w:rFonts w:hint="eastAsia" w:ascii="宋体"/>
          <w:color w:val="auto"/>
        </w:rPr>
        <w:t>邮政编码：400010</w:t>
      </w:r>
    </w:p>
    <w:p>
      <w:pPr>
        <w:spacing w:line="360" w:lineRule="auto"/>
        <w:ind w:firstLine="480"/>
        <w:rPr>
          <w:rFonts w:ascii="宋体"/>
          <w:color w:val="auto"/>
        </w:rPr>
      </w:pPr>
      <w:r>
        <w:rPr>
          <w:rFonts w:hint="eastAsia" w:ascii="宋体"/>
          <w:color w:val="auto"/>
        </w:rPr>
        <w:t>联系人：</w:t>
      </w:r>
    </w:p>
    <w:p>
      <w:pPr>
        <w:spacing w:line="360" w:lineRule="auto"/>
        <w:ind w:firstLine="480"/>
        <w:rPr>
          <w:rFonts w:ascii="宋体"/>
          <w:color w:val="auto"/>
        </w:rPr>
      </w:pPr>
      <w:r>
        <w:rPr>
          <w:rFonts w:hint="eastAsia" w:ascii="宋体"/>
          <w:color w:val="auto"/>
        </w:rPr>
        <w:t>联系电话：</w:t>
      </w:r>
    </w:p>
    <w:p>
      <w:pPr>
        <w:spacing w:line="360" w:lineRule="auto"/>
        <w:ind w:firstLine="480"/>
        <w:rPr>
          <w:rFonts w:ascii="宋体"/>
          <w:color w:val="auto"/>
        </w:rPr>
      </w:pPr>
      <w:r>
        <w:rPr>
          <w:rFonts w:hint="eastAsia" w:ascii="宋体"/>
          <w:color w:val="auto"/>
        </w:rPr>
        <w:t>传真号码：</w:t>
      </w:r>
    </w:p>
    <w:p>
      <w:pPr>
        <w:spacing w:line="360" w:lineRule="auto"/>
        <w:ind w:firstLine="480"/>
        <w:rPr>
          <w:rFonts w:ascii="宋体"/>
          <w:bCs/>
          <w:color w:val="auto"/>
        </w:rPr>
      </w:pPr>
      <w:r>
        <w:rPr>
          <w:rFonts w:hint="eastAsia" w:ascii="宋体"/>
          <w:bCs/>
          <w:color w:val="auto"/>
        </w:rPr>
        <w:t>电子邮箱：</w:t>
      </w:r>
    </w:p>
    <w:p>
      <w:pPr>
        <w:spacing w:line="360" w:lineRule="auto"/>
        <w:ind w:firstLine="482"/>
        <w:rPr>
          <w:rFonts w:ascii="宋体"/>
          <w:b/>
          <w:bCs/>
          <w:color w:val="auto"/>
        </w:rPr>
      </w:pPr>
    </w:p>
    <w:p>
      <w:pPr>
        <w:spacing w:line="360" w:lineRule="auto"/>
        <w:ind w:firstLine="482"/>
        <w:rPr>
          <w:rFonts w:ascii="宋体"/>
          <w:b/>
          <w:bCs/>
          <w:color w:val="auto"/>
        </w:rPr>
      </w:pPr>
      <w:r>
        <w:rPr>
          <w:rFonts w:hint="eastAsia" w:ascii="宋体"/>
          <w:b/>
          <w:bCs/>
          <w:color w:val="auto"/>
        </w:rPr>
        <w:t>乙    方：xxxxx公司</w:t>
      </w:r>
      <w:r>
        <w:rPr>
          <w:rFonts w:hint="eastAsia" w:ascii="宋体"/>
          <w:b/>
          <w:bCs/>
          <w:color w:val="auto"/>
        </w:rPr>
        <w:tab/>
      </w:r>
    </w:p>
    <w:p>
      <w:pPr>
        <w:spacing w:line="360" w:lineRule="auto"/>
        <w:ind w:firstLine="480"/>
        <w:rPr>
          <w:rFonts w:ascii="宋体"/>
          <w:bCs/>
          <w:color w:val="auto"/>
        </w:rPr>
      </w:pPr>
      <w:r>
        <w:rPr>
          <w:rFonts w:hint="eastAsia" w:ascii="宋体"/>
          <w:bCs/>
          <w:color w:val="auto"/>
        </w:rPr>
        <w:t>地    址：</w:t>
      </w:r>
    </w:p>
    <w:p>
      <w:pPr>
        <w:spacing w:line="360" w:lineRule="auto"/>
        <w:ind w:firstLine="480"/>
        <w:rPr>
          <w:rFonts w:ascii="宋体"/>
          <w:bCs/>
          <w:color w:val="auto"/>
        </w:rPr>
      </w:pPr>
      <w:r>
        <w:rPr>
          <w:rFonts w:hint="eastAsia" w:ascii="宋体"/>
          <w:bCs/>
          <w:color w:val="auto"/>
        </w:rPr>
        <w:t xml:space="preserve">法人代表： </w:t>
      </w:r>
    </w:p>
    <w:p>
      <w:pPr>
        <w:spacing w:line="360" w:lineRule="auto"/>
        <w:ind w:firstLine="480"/>
        <w:rPr>
          <w:rFonts w:ascii="宋体"/>
          <w:bCs/>
          <w:color w:val="auto"/>
        </w:rPr>
      </w:pPr>
      <w:r>
        <w:rPr>
          <w:rFonts w:hint="eastAsia" w:ascii="宋体"/>
          <w:bCs/>
          <w:color w:val="auto"/>
        </w:rPr>
        <w:t>邮政编码：</w:t>
      </w:r>
    </w:p>
    <w:p>
      <w:pPr>
        <w:spacing w:line="360" w:lineRule="auto"/>
        <w:ind w:firstLine="480"/>
        <w:rPr>
          <w:rFonts w:ascii="宋体"/>
          <w:bCs/>
          <w:color w:val="auto"/>
        </w:rPr>
      </w:pPr>
      <w:r>
        <w:rPr>
          <w:rFonts w:hint="eastAsia" w:ascii="宋体"/>
          <w:bCs/>
          <w:color w:val="auto"/>
        </w:rPr>
        <w:t>联系人：</w:t>
      </w:r>
    </w:p>
    <w:p>
      <w:pPr>
        <w:spacing w:line="360" w:lineRule="auto"/>
        <w:ind w:firstLine="480"/>
        <w:rPr>
          <w:rFonts w:ascii="宋体"/>
          <w:bCs/>
          <w:color w:val="auto"/>
        </w:rPr>
      </w:pPr>
      <w:r>
        <w:rPr>
          <w:rFonts w:hint="eastAsia" w:ascii="宋体"/>
          <w:bCs/>
          <w:color w:val="auto"/>
        </w:rPr>
        <w:t>联系电话：</w:t>
      </w:r>
    </w:p>
    <w:p>
      <w:pPr>
        <w:spacing w:line="360" w:lineRule="auto"/>
        <w:ind w:firstLine="480"/>
        <w:rPr>
          <w:rFonts w:ascii="宋体"/>
          <w:bCs/>
          <w:color w:val="auto"/>
        </w:rPr>
      </w:pPr>
      <w:r>
        <w:rPr>
          <w:rFonts w:hint="eastAsia" w:ascii="宋体"/>
          <w:bCs/>
          <w:color w:val="auto"/>
        </w:rPr>
        <w:t>传真号码：</w:t>
      </w:r>
    </w:p>
    <w:p>
      <w:pPr>
        <w:spacing w:line="360" w:lineRule="auto"/>
        <w:ind w:firstLine="480"/>
        <w:rPr>
          <w:rFonts w:ascii="宋体"/>
          <w:bCs/>
          <w:color w:val="auto"/>
        </w:rPr>
      </w:pPr>
      <w:r>
        <w:rPr>
          <w:rFonts w:hint="eastAsia" w:ascii="宋体"/>
          <w:bCs/>
          <w:color w:val="auto"/>
        </w:rPr>
        <w:t>电子邮箱：</w:t>
      </w:r>
    </w:p>
    <w:p>
      <w:pPr>
        <w:tabs>
          <w:tab w:val="left" w:pos="993"/>
        </w:tabs>
        <w:spacing w:before="240" w:line="360" w:lineRule="auto"/>
        <w:ind w:left="877" w:firstLine="482"/>
        <w:rPr>
          <w:rFonts w:ascii="宋体"/>
          <w:b/>
          <w:bCs/>
          <w:color w:val="auto"/>
        </w:rPr>
      </w:pPr>
      <w:r>
        <w:rPr>
          <w:rFonts w:hint="eastAsia" w:ascii="宋体"/>
          <w:b/>
          <w:bCs/>
          <w:color w:val="auto"/>
        </w:rPr>
        <w:t>第一条</w:t>
      </w:r>
      <w:r>
        <w:rPr>
          <w:rFonts w:ascii="宋体"/>
          <w:b/>
          <w:bCs/>
          <w:color w:val="auto"/>
        </w:rPr>
        <w:br w:type="page"/>
      </w:r>
      <w:r>
        <w:rPr>
          <w:rFonts w:hint="eastAsia" w:ascii="宋体"/>
          <w:b/>
          <w:bCs/>
          <w:color w:val="auto"/>
        </w:rPr>
        <w:t>本合同事宜</w:t>
      </w:r>
    </w:p>
    <w:p>
      <w:pPr>
        <w:spacing w:before="240" w:line="360" w:lineRule="auto"/>
        <w:ind w:firstLine="470" w:firstLineChars="196"/>
        <w:rPr>
          <w:rFonts w:ascii="宋体"/>
          <w:color w:val="auto"/>
        </w:rPr>
      </w:pPr>
      <w:r>
        <w:rPr>
          <w:rFonts w:hint="eastAsia"/>
          <w:color w:val="auto"/>
        </w:rPr>
        <w:t>甲乙双方经友好协商并达成一致，依据相关法律、法规的规定，</w:t>
      </w:r>
      <w:r>
        <w:rPr>
          <w:rFonts w:hint="eastAsia" w:ascii="宋体"/>
          <w:color w:val="auto"/>
        </w:rPr>
        <w:t>就甲方向乙方订购产品的事宜</w:t>
      </w:r>
      <w:r>
        <w:rPr>
          <w:rFonts w:hint="eastAsia"/>
          <w:color w:val="auto"/>
        </w:rPr>
        <w:t>订立本合同，</w:t>
      </w:r>
      <w:r>
        <w:rPr>
          <w:rFonts w:hint="eastAsia" w:ascii="宋体"/>
          <w:color w:val="auto"/>
        </w:rPr>
        <w:t>以资信守：</w:t>
      </w:r>
    </w:p>
    <w:p>
      <w:pPr>
        <w:tabs>
          <w:tab w:val="left" w:pos="993"/>
        </w:tabs>
        <w:spacing w:before="240" w:line="360" w:lineRule="auto"/>
        <w:ind w:left="877" w:firstLine="482"/>
        <w:rPr>
          <w:rFonts w:ascii="宋体"/>
          <w:b/>
          <w:bCs/>
          <w:color w:val="auto"/>
        </w:rPr>
      </w:pPr>
      <w:r>
        <w:rPr>
          <w:rFonts w:hint="eastAsia" w:ascii="宋体"/>
          <w:b/>
          <w:bCs/>
          <w:color w:val="auto"/>
        </w:rPr>
        <w:t>第二条本合同产品及金额</w:t>
      </w:r>
    </w:p>
    <w:p>
      <w:pPr>
        <w:pStyle w:val="17"/>
        <w:spacing w:line="360" w:lineRule="auto"/>
        <w:ind w:firstLine="280"/>
        <w:rPr>
          <w:color w:val="auto"/>
        </w:rPr>
      </w:pPr>
    </w:p>
    <w:tbl>
      <w:tblPr>
        <w:tblStyle w:val="18"/>
        <w:tblW w:w="89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2268"/>
        <w:gridCol w:w="1134"/>
        <w:gridCol w:w="1276"/>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b/>
                <w:bCs/>
                <w:color w:val="auto"/>
                <w:sz w:val="21"/>
                <w:szCs w:val="21"/>
              </w:rPr>
            </w:pPr>
            <w:r>
              <w:rPr>
                <w:rFonts w:hint="eastAsia"/>
                <w:b/>
                <w:bCs/>
                <w:color w:val="auto"/>
                <w:szCs w:val="21"/>
              </w:rPr>
              <w:t>产品名称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ind w:left="252" w:firstLine="0" w:firstLineChars="0"/>
              <w:jc w:val="center"/>
              <w:rPr>
                <w:b/>
                <w:bCs/>
                <w:color w:val="auto"/>
                <w:sz w:val="21"/>
                <w:szCs w:val="21"/>
              </w:rPr>
            </w:pPr>
            <w:r>
              <w:rPr>
                <w:rFonts w:hint="eastAsia"/>
                <w:b/>
                <w:bCs/>
                <w:color w:val="auto"/>
                <w:szCs w:val="21"/>
              </w:rPr>
              <w:t>产品型号及规格</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b/>
                <w:bCs/>
                <w:color w:val="auto"/>
                <w:sz w:val="21"/>
                <w:szCs w:val="21"/>
              </w:rPr>
            </w:pPr>
            <w:r>
              <w:rPr>
                <w:rFonts w:hint="eastAsia"/>
                <w:b/>
                <w:bCs/>
                <w:color w:val="auto"/>
                <w:szCs w:val="21"/>
              </w:rPr>
              <w:t>单价（元）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b/>
                <w:bCs/>
                <w:color w:val="auto"/>
                <w:sz w:val="21"/>
                <w:szCs w:val="21"/>
              </w:rPr>
            </w:pPr>
            <w:r>
              <w:rPr>
                <w:rFonts w:hint="eastAsia"/>
                <w:b/>
                <w:bCs/>
                <w:color w:val="auto"/>
                <w:szCs w:val="21"/>
              </w:rPr>
              <w:t>数量（台）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b/>
                <w:bCs/>
                <w:color w:val="auto"/>
                <w:sz w:val="21"/>
                <w:szCs w:val="21"/>
              </w:rPr>
            </w:pPr>
            <w:r>
              <w:rPr>
                <w:rFonts w:hint="eastAsia"/>
                <w:b/>
                <w:bCs/>
                <w:color w:val="auto"/>
                <w:szCs w:val="21"/>
              </w:rPr>
              <w:t>税率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b/>
                <w:bCs/>
                <w:color w:val="auto"/>
                <w:sz w:val="21"/>
                <w:szCs w:val="21"/>
              </w:rPr>
            </w:pPr>
            <w:r>
              <w:rPr>
                <w:rFonts w:hint="eastAsia"/>
                <w:b/>
                <w:bCs/>
                <w:color w:val="auto"/>
                <w:szCs w:val="21"/>
              </w:rPr>
              <w:t>总金额含税（元）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color w:val="auto"/>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ind w:left="207" w:firstLine="0" w:firstLineChars="0"/>
              <w:jc w:val="left"/>
              <w:rPr>
                <w:rFonts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cente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color w:val="auto"/>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ind w:left="207" w:firstLine="0" w:firstLineChars="0"/>
              <w:jc w:val="left"/>
              <w:rPr>
                <w:rFonts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ind w:firstLine="0" w:firstLineChars="0"/>
              <w:jc w:val="cente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70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color w:val="auto"/>
                <w:sz w:val="21"/>
                <w:szCs w:val="21"/>
              </w:rPr>
            </w:pPr>
          </w:p>
        </w:tc>
        <w:tc>
          <w:tcPr>
            <w:tcW w:w="72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color w:val="auto"/>
                <w:sz w:val="21"/>
                <w:szCs w:val="21"/>
              </w:rPr>
            </w:pPr>
            <w:r>
              <w:rPr>
                <w:rFonts w:hint="eastAsia"/>
                <w:color w:val="auto"/>
                <w:szCs w:val="21"/>
              </w:rPr>
              <w:t>合计（含税）大写（人民币）：</w:t>
            </w:r>
          </w:p>
        </w:tc>
      </w:tr>
    </w:tbl>
    <w:p>
      <w:pPr>
        <w:tabs>
          <w:tab w:val="left" w:pos="851"/>
        </w:tabs>
        <w:spacing w:line="360" w:lineRule="auto"/>
        <w:ind w:firstLine="480"/>
        <w:rPr>
          <w:rFonts w:ascii="宋体"/>
          <w:color w:val="auto"/>
        </w:rPr>
      </w:pPr>
      <w:r>
        <w:rPr>
          <w:rFonts w:hint="eastAsia" w:ascii="宋体"/>
          <w:color w:val="auto"/>
        </w:rPr>
        <w:t>其中不含税价为：人民币￥       （大写：         整）；不含税价格不因国家税率变化而变化，若在合同履行期间，如遇国家的税率调整，则价税合计应相应调整，以开具发票的时间为准。</w:t>
      </w:r>
    </w:p>
    <w:p>
      <w:pPr>
        <w:tabs>
          <w:tab w:val="left" w:pos="851"/>
        </w:tabs>
        <w:spacing w:line="360" w:lineRule="auto"/>
        <w:ind w:firstLine="480"/>
        <w:rPr>
          <w:rFonts w:ascii="宋体"/>
          <w:color w:val="auto"/>
        </w:rPr>
      </w:pPr>
      <w:r>
        <w:rPr>
          <w:rFonts w:hint="eastAsia" w:ascii="宋体"/>
          <w:color w:val="auto"/>
        </w:rPr>
        <w:t>上述合同金额包含___年□乙方■生产厂商□第三方___________提供的维保，维保期为设备加电测试通过之日至      年后，维保期内服务内容详见附件3。除此外甲方无需支付其他费用。</w:t>
      </w:r>
    </w:p>
    <w:p>
      <w:pPr>
        <w:tabs>
          <w:tab w:val="left" w:pos="993"/>
        </w:tabs>
        <w:spacing w:before="240" w:line="360" w:lineRule="auto"/>
        <w:ind w:left="877" w:firstLine="482"/>
        <w:rPr>
          <w:rFonts w:ascii="宋体"/>
          <w:b/>
          <w:bCs/>
          <w:color w:val="auto"/>
        </w:rPr>
      </w:pPr>
      <w:r>
        <w:rPr>
          <w:rFonts w:hint="eastAsia" w:ascii="宋体"/>
          <w:b/>
          <w:bCs/>
          <w:color w:val="auto"/>
        </w:rPr>
        <w:t>第三条付款方式</w:t>
      </w:r>
    </w:p>
    <w:p>
      <w:pPr>
        <w:tabs>
          <w:tab w:val="left" w:pos="851"/>
        </w:tabs>
        <w:spacing w:line="360" w:lineRule="auto"/>
        <w:ind w:firstLine="480"/>
        <w:rPr>
          <w:rFonts w:ascii="宋体"/>
          <w:color w:val="auto"/>
        </w:rPr>
      </w:pPr>
      <w:r>
        <w:rPr>
          <w:rFonts w:hint="eastAsia" w:ascii="宋体"/>
          <w:color w:val="auto"/>
        </w:rPr>
        <w:t>3.1设备到达甲方指定现场，签收、完成初始化安装并测试通过，且确认原厂维保承诺符合维保要求后30个工作日内乙方向甲方提供合法</w:t>
      </w:r>
      <w:r>
        <w:rPr>
          <w:rFonts w:ascii="宋体"/>
          <w:color w:val="auto"/>
        </w:rPr>
        <w:t>全</w:t>
      </w:r>
      <w:r>
        <w:rPr>
          <w:rFonts w:hint="eastAsia" w:ascii="宋体"/>
          <w:color w:val="auto"/>
        </w:rPr>
        <w:t>额的增值税专用发票，甲方支付合同总金额的40%，计人民币元（大写：       ）；设备签收并正常运行</w:t>
      </w:r>
      <w:r>
        <w:rPr>
          <w:rFonts w:ascii="宋体"/>
          <w:color w:val="auto"/>
        </w:rPr>
        <w:t>三个月</w:t>
      </w:r>
      <w:r>
        <w:rPr>
          <w:rFonts w:hint="eastAsia" w:ascii="宋体"/>
          <w:color w:val="auto"/>
        </w:rPr>
        <w:t>后，30个工作日内，支付合同总额的58%，计人民币元（大写：      ）；</w:t>
      </w:r>
      <w:r>
        <w:rPr>
          <w:rFonts w:hint="eastAsia" w:ascii="宋体" w:cs="宋体"/>
          <w:color w:val="auto"/>
          <w:szCs w:val="21"/>
        </w:rPr>
        <w:t>本项目维保期</w:t>
      </w:r>
      <w:r>
        <w:rPr>
          <w:rFonts w:hint="eastAsia" w:ascii="宋体"/>
          <w:color w:val="auto"/>
        </w:rPr>
        <w:t>到期</w:t>
      </w:r>
      <w:r>
        <w:rPr>
          <w:rFonts w:hint="eastAsia" w:ascii="宋体" w:cs="宋体"/>
          <w:color w:val="auto"/>
          <w:szCs w:val="21"/>
        </w:rPr>
        <w:t>后，30</w:t>
      </w:r>
      <w:r>
        <w:rPr>
          <w:rFonts w:ascii="宋体" w:cs="宋体"/>
          <w:color w:val="auto"/>
          <w:szCs w:val="21"/>
        </w:rPr>
        <w:t>个工作日内支付合同金额的</w:t>
      </w:r>
      <w:r>
        <w:rPr>
          <w:rFonts w:hint="eastAsia" w:ascii="宋体" w:cs="宋体"/>
          <w:color w:val="auto"/>
          <w:szCs w:val="21"/>
        </w:rPr>
        <w:t>2</w:t>
      </w:r>
      <w:r>
        <w:rPr>
          <w:rFonts w:ascii="宋体" w:cs="宋体"/>
          <w:color w:val="auto"/>
          <w:szCs w:val="21"/>
        </w:rPr>
        <w:t>%</w:t>
      </w:r>
      <w:r>
        <w:rPr>
          <w:rFonts w:hint="eastAsia" w:ascii="宋体"/>
          <w:color w:val="auto"/>
        </w:rPr>
        <w:t>，计人民币元（大写：      ）。</w:t>
      </w:r>
    </w:p>
    <w:p>
      <w:pPr>
        <w:tabs>
          <w:tab w:val="left" w:pos="851"/>
        </w:tabs>
        <w:spacing w:line="360" w:lineRule="auto"/>
        <w:ind w:firstLine="480"/>
        <w:rPr>
          <w:rFonts w:ascii="宋体"/>
          <w:color w:val="auto"/>
        </w:rPr>
      </w:pPr>
      <w:r>
        <w:rPr>
          <w:rFonts w:hint="eastAsia" w:ascii="宋体"/>
          <w:color w:val="auto"/>
        </w:rPr>
        <w:t>3.2从乙方仓库到本合同所指定的交货地点所发生的运输、保险费用由乙方负责。</w:t>
      </w:r>
    </w:p>
    <w:p>
      <w:pPr>
        <w:tabs>
          <w:tab w:val="left" w:pos="851"/>
        </w:tabs>
        <w:spacing w:line="360" w:lineRule="auto"/>
        <w:ind w:firstLine="480"/>
        <w:rPr>
          <w:rFonts w:ascii="宋体"/>
          <w:color w:val="auto"/>
        </w:rPr>
      </w:pPr>
      <w:r>
        <w:rPr>
          <w:rFonts w:hint="eastAsia" w:ascii="宋体"/>
          <w:color w:val="auto"/>
        </w:rPr>
        <w:t>3.3发票要求：</w:t>
      </w:r>
      <w:r>
        <w:rPr>
          <w:rFonts w:hint="eastAsia"/>
          <w:color w:val="auto"/>
        </w:rPr>
        <w:t>乙方须严格按照合</w:t>
      </w:r>
      <w:r>
        <w:rPr>
          <w:rFonts w:hint="eastAsia" w:ascii="宋体"/>
          <w:color w:val="auto"/>
        </w:rPr>
        <w:t>同内容开具</w:t>
      </w:r>
      <w:r>
        <w:rPr>
          <w:rFonts w:hint="eastAsia" w:ascii="宋体"/>
          <w:b/>
          <w:bCs/>
          <w:color w:val="auto"/>
        </w:rPr>
        <w:t>税率为13%的增值税专用发票</w:t>
      </w:r>
      <w:r>
        <w:rPr>
          <w:rFonts w:hint="eastAsia"/>
          <w:color w:val="auto"/>
        </w:rPr>
        <w:t>（若遇国家税率调整另议），乙方在甲方付款前</w:t>
      </w:r>
      <w:r>
        <w:rPr>
          <w:color w:val="auto"/>
        </w:rPr>
        <w:t>7</w:t>
      </w:r>
      <w:r>
        <w:rPr>
          <w:rFonts w:hint="eastAsia"/>
          <w:color w:val="auto"/>
        </w:rPr>
        <w:t>个工作日需向甲方交付相应的发票，否则甲方有权拒绝支付任何费用且不承担逾期付款违约责任。</w:t>
      </w:r>
    </w:p>
    <w:p>
      <w:pPr>
        <w:tabs>
          <w:tab w:val="left" w:pos="993"/>
        </w:tabs>
        <w:spacing w:before="240" w:line="360" w:lineRule="auto"/>
        <w:ind w:left="877" w:firstLine="482"/>
        <w:rPr>
          <w:rFonts w:ascii="宋体"/>
          <w:b/>
          <w:bCs/>
          <w:color w:val="auto"/>
        </w:rPr>
      </w:pPr>
      <w:r>
        <w:rPr>
          <w:rFonts w:hint="eastAsia" w:ascii="宋体"/>
          <w:b/>
          <w:bCs/>
          <w:color w:val="auto"/>
        </w:rPr>
        <w:t>第四条收货方式和交货时间</w:t>
      </w:r>
    </w:p>
    <w:p>
      <w:pPr>
        <w:tabs>
          <w:tab w:val="left" w:pos="851"/>
        </w:tabs>
        <w:spacing w:line="360" w:lineRule="auto"/>
        <w:ind w:firstLine="480"/>
        <w:rPr>
          <w:rFonts w:ascii="宋体"/>
          <w:color w:val="auto"/>
        </w:rPr>
      </w:pPr>
      <w:r>
        <w:rPr>
          <w:rFonts w:hint="eastAsia" w:ascii="宋体"/>
          <w:color w:val="auto"/>
        </w:rPr>
        <w:t>4.1 乙方将货物送到甲方指定的收货地点，由甲方指定收货联系人签字确认。</w:t>
      </w:r>
    </w:p>
    <w:p>
      <w:pPr>
        <w:spacing w:line="360" w:lineRule="auto"/>
        <w:ind w:firstLine="840" w:firstLineChars="350"/>
        <w:rPr>
          <w:rFonts w:ascii="宋体"/>
          <w:color w:val="auto"/>
          <w:u w:val="single"/>
        </w:rPr>
      </w:pPr>
      <w:r>
        <w:rPr>
          <w:rFonts w:hint="eastAsia" w:ascii="宋体"/>
          <w:color w:val="auto"/>
        </w:rPr>
        <w:t>收货地点：</w:t>
      </w:r>
    </w:p>
    <w:p>
      <w:pPr>
        <w:spacing w:line="360" w:lineRule="auto"/>
        <w:ind w:firstLine="840" w:firstLineChars="350"/>
        <w:rPr>
          <w:rFonts w:ascii="宋体"/>
          <w:color w:val="auto"/>
        </w:rPr>
      </w:pPr>
      <w:r>
        <w:rPr>
          <w:rFonts w:hint="eastAsia" w:ascii="宋体"/>
          <w:color w:val="auto"/>
        </w:rPr>
        <w:t>收货联系人：</w:t>
      </w:r>
    </w:p>
    <w:p>
      <w:pPr>
        <w:spacing w:line="360" w:lineRule="auto"/>
        <w:ind w:firstLine="840" w:firstLineChars="350"/>
        <w:rPr>
          <w:rFonts w:ascii="宋体"/>
          <w:color w:val="auto"/>
        </w:rPr>
      </w:pPr>
      <w:r>
        <w:rPr>
          <w:rFonts w:hint="eastAsia" w:ascii="宋体"/>
          <w:color w:val="auto"/>
        </w:rPr>
        <w:t>收货联系电话：</w:t>
      </w:r>
    </w:p>
    <w:p>
      <w:pPr>
        <w:numPr>
          <w:ilvl w:val="1"/>
          <w:numId w:val="0"/>
        </w:numPr>
        <w:tabs>
          <w:tab w:val="left" w:pos="851"/>
        </w:tabs>
        <w:spacing w:line="360" w:lineRule="auto"/>
        <w:ind w:left="840" w:firstLine="420" w:firstLineChars="200"/>
        <w:rPr>
          <w:color w:val="auto"/>
          <w:sz w:val="21"/>
        </w:rPr>
      </w:pPr>
      <w:r>
        <w:rPr>
          <w:color w:val="auto"/>
          <w:sz w:val="21"/>
        </w:rPr>
        <w:t>4.2</w:t>
      </w:r>
      <w:r>
        <w:rPr>
          <w:rFonts w:hint="eastAsia" w:ascii="宋体"/>
          <w:color w:val="auto"/>
        </w:rPr>
        <w:t xml:space="preserve"> 交货时间：合同签订后45个自然日内。</w:t>
      </w:r>
    </w:p>
    <w:p>
      <w:pPr>
        <w:tabs>
          <w:tab w:val="left" w:pos="993"/>
        </w:tabs>
        <w:spacing w:before="240" w:line="360" w:lineRule="auto"/>
        <w:ind w:left="877" w:firstLine="482"/>
        <w:rPr>
          <w:rFonts w:ascii="宋体"/>
          <w:b/>
          <w:bCs/>
          <w:color w:val="auto"/>
        </w:rPr>
      </w:pPr>
      <w:r>
        <w:rPr>
          <w:rFonts w:hint="eastAsia" w:ascii="宋体"/>
          <w:b/>
          <w:bCs/>
          <w:color w:val="auto"/>
        </w:rPr>
        <w:t>第五条运输和包装</w:t>
      </w:r>
    </w:p>
    <w:p>
      <w:pPr>
        <w:tabs>
          <w:tab w:val="left" w:pos="851"/>
        </w:tabs>
        <w:spacing w:line="360" w:lineRule="auto"/>
        <w:ind w:firstLine="480"/>
        <w:rPr>
          <w:rFonts w:ascii="宋体"/>
          <w:color w:val="auto"/>
        </w:rPr>
      </w:pPr>
      <w:r>
        <w:rPr>
          <w:rFonts w:hint="eastAsia" w:ascii="宋体"/>
          <w:color w:val="auto"/>
        </w:rPr>
        <w:t>5.1乙方应根据货物特点和要求采取适当的包装，以使货物在正常装卸和搬运条件下能够安全抵达项目现场。</w:t>
      </w:r>
    </w:p>
    <w:p>
      <w:pPr>
        <w:tabs>
          <w:tab w:val="left" w:pos="851"/>
        </w:tabs>
        <w:spacing w:line="360" w:lineRule="auto"/>
        <w:ind w:firstLine="480"/>
        <w:rPr>
          <w:rFonts w:ascii="宋体"/>
          <w:color w:val="auto"/>
        </w:rPr>
      </w:pPr>
      <w:r>
        <w:rPr>
          <w:rFonts w:hint="eastAsia" w:ascii="宋体"/>
          <w:color w:val="auto"/>
        </w:rPr>
        <w:t>5.2乙方负责货物到达合同指定的交货地点的运输，并承担相应的货物运输风险。</w:t>
      </w:r>
    </w:p>
    <w:p>
      <w:pPr>
        <w:tabs>
          <w:tab w:val="left" w:pos="993"/>
        </w:tabs>
        <w:spacing w:before="240" w:line="360" w:lineRule="auto"/>
        <w:ind w:left="877" w:firstLine="482"/>
        <w:rPr>
          <w:rFonts w:ascii="宋体"/>
          <w:b/>
          <w:bCs/>
          <w:color w:val="auto"/>
        </w:rPr>
      </w:pPr>
      <w:r>
        <w:rPr>
          <w:rFonts w:hint="eastAsia" w:ascii="宋体"/>
          <w:b/>
          <w:bCs/>
          <w:color w:val="auto"/>
        </w:rPr>
        <w:t>第六条货物的交付与验收</w:t>
      </w:r>
    </w:p>
    <w:p>
      <w:pPr>
        <w:tabs>
          <w:tab w:val="left" w:pos="851"/>
        </w:tabs>
        <w:spacing w:line="360" w:lineRule="auto"/>
        <w:ind w:firstLine="480"/>
        <w:rPr>
          <w:rFonts w:ascii="宋体"/>
          <w:color w:val="auto"/>
        </w:rPr>
      </w:pPr>
      <w:r>
        <w:rPr>
          <w:rFonts w:hint="eastAsia" w:ascii="宋体"/>
          <w:color w:val="auto"/>
        </w:rPr>
        <w:t>6.1甲方在收到货之日起30个工作日内（遇节假日顺延）进行到货签收并向乙方提供货物签收单，到货签收以合同所列产品清单为准。如对到货签收结果有异议，则应在乙方交货后30个工作日内（遇节假日顺延）向乙方提出，乙方应负责提供包括更换设备等形式直至签收合格，由此产生的费用由乙方负责。</w:t>
      </w:r>
    </w:p>
    <w:p>
      <w:pPr>
        <w:tabs>
          <w:tab w:val="left" w:pos="851"/>
        </w:tabs>
        <w:spacing w:line="360" w:lineRule="auto"/>
        <w:ind w:firstLine="480"/>
        <w:rPr>
          <w:rFonts w:ascii="宋体"/>
          <w:color w:val="auto"/>
        </w:rPr>
      </w:pPr>
      <w:r>
        <w:rPr>
          <w:rFonts w:hint="eastAsia" w:ascii="宋体"/>
          <w:color w:val="auto"/>
        </w:rPr>
        <w:t>6.2 到货签收合格后，由乙方工程师进行硬件设备安装、加电调试，并向甲方提供安装服务报告和货物明细签收单，则视为签收合格。</w:t>
      </w:r>
    </w:p>
    <w:p>
      <w:pPr>
        <w:tabs>
          <w:tab w:val="left" w:pos="851"/>
        </w:tabs>
        <w:spacing w:line="360" w:lineRule="auto"/>
        <w:ind w:firstLine="480"/>
        <w:rPr>
          <w:rFonts w:ascii="宋体"/>
          <w:color w:val="auto"/>
        </w:rPr>
      </w:pPr>
      <w:r>
        <w:rPr>
          <w:rFonts w:hint="eastAsia" w:ascii="宋体"/>
          <w:color w:val="auto"/>
        </w:rPr>
        <w:t>6.3设备自签收之日起三个月内运行正常，则视为验收合格，经甲方确认后，签署验收报告。</w:t>
      </w:r>
    </w:p>
    <w:p>
      <w:pPr>
        <w:tabs>
          <w:tab w:val="left" w:pos="993"/>
        </w:tabs>
        <w:spacing w:before="240" w:line="360" w:lineRule="auto"/>
        <w:ind w:left="877" w:firstLine="482"/>
        <w:rPr>
          <w:rFonts w:ascii="宋体"/>
          <w:b/>
          <w:bCs/>
          <w:color w:val="auto"/>
        </w:rPr>
      </w:pPr>
      <w:r>
        <w:rPr>
          <w:rFonts w:hint="eastAsia" w:ascii="宋体"/>
          <w:b/>
          <w:bCs/>
          <w:color w:val="auto"/>
        </w:rPr>
        <w:t>第七条质量保证和售后服务</w:t>
      </w:r>
    </w:p>
    <w:p>
      <w:pPr>
        <w:tabs>
          <w:tab w:val="left" w:pos="851"/>
        </w:tabs>
        <w:spacing w:line="360" w:lineRule="auto"/>
        <w:ind w:firstLine="480"/>
        <w:rPr>
          <w:rFonts w:ascii="宋体"/>
          <w:color w:val="auto"/>
        </w:rPr>
      </w:pPr>
      <w:r>
        <w:rPr>
          <w:rFonts w:hint="eastAsia" w:ascii="宋体"/>
          <w:color w:val="auto"/>
        </w:rPr>
        <w:t>7.1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pPr>
        <w:tabs>
          <w:tab w:val="left" w:pos="851"/>
        </w:tabs>
        <w:spacing w:line="360" w:lineRule="auto"/>
        <w:ind w:firstLine="480"/>
        <w:rPr>
          <w:rFonts w:ascii="宋体"/>
          <w:color w:val="auto"/>
        </w:rPr>
      </w:pPr>
      <w:r>
        <w:rPr>
          <w:rFonts w:hint="eastAsia" w:ascii="宋体"/>
          <w:color w:val="auto"/>
        </w:rPr>
        <w:t>7.2</w:t>
      </w:r>
      <w:r>
        <w:rPr>
          <w:rFonts w:ascii="宋体"/>
          <w:color w:val="auto"/>
        </w:rPr>
        <w:t xml:space="preserve"> </w:t>
      </w:r>
      <w:r>
        <w:rPr>
          <w:rFonts w:hint="eastAsia" w:ascii="宋体"/>
          <w:color w:val="auto"/>
        </w:rPr>
        <w:t>维保期到期后</w:t>
      </w:r>
      <w:r>
        <w:rPr>
          <w:rFonts w:hint="eastAsia" w:ascii="宋体"/>
          <w:color w:val="auto"/>
          <w:u w:val="single"/>
        </w:rPr>
        <w:t xml:space="preserve">  </w:t>
      </w:r>
      <w:r>
        <w:rPr>
          <w:rFonts w:hint="eastAsia" w:ascii="宋体"/>
          <w:color w:val="auto"/>
        </w:rPr>
        <w:t>年内，本合同项下产品甲方有权可选择继续由原厂提供维保服务。</w:t>
      </w:r>
    </w:p>
    <w:p>
      <w:pPr>
        <w:tabs>
          <w:tab w:val="left" w:pos="851"/>
        </w:tabs>
        <w:spacing w:line="360" w:lineRule="auto"/>
        <w:ind w:firstLine="480"/>
        <w:rPr>
          <w:rFonts w:ascii="宋体"/>
          <w:color w:val="auto"/>
        </w:rPr>
      </w:pPr>
      <w:r>
        <w:rPr>
          <w:rFonts w:hint="eastAsia" w:ascii="宋体"/>
          <w:color w:val="auto"/>
        </w:rPr>
        <w:t>7.2.1</w:t>
      </w:r>
      <w:r>
        <w:rPr>
          <w:rFonts w:ascii="宋体"/>
          <w:color w:val="auto"/>
        </w:rPr>
        <w:t xml:space="preserve"> </w:t>
      </w:r>
      <w:r>
        <w:rPr>
          <w:rFonts w:hint="eastAsia" w:ascii="宋体"/>
          <w:color w:val="auto"/>
        </w:rPr>
        <w:t>乙方确保原厂将以合同项下产品金额的______%的维保费率提供原厂维保服务，附原厂售后服务承诺函，若原厂无法以承诺费用续保，由乙方承担违约责任，甲方有权向乙方追偿超出约定维保费部分的费用。</w:t>
      </w:r>
    </w:p>
    <w:p>
      <w:pPr>
        <w:tabs>
          <w:tab w:val="left" w:pos="851"/>
        </w:tabs>
        <w:spacing w:line="360" w:lineRule="auto"/>
        <w:ind w:firstLine="480"/>
        <w:rPr>
          <w:rFonts w:ascii="宋体"/>
          <w:color w:val="auto"/>
        </w:rPr>
      </w:pPr>
      <w:r>
        <w:rPr>
          <w:rFonts w:hint="eastAsia" w:ascii="宋体"/>
          <w:color w:val="auto"/>
        </w:rPr>
        <w:t>7.3维保期到期后</w:t>
      </w:r>
      <w:r>
        <w:rPr>
          <w:rFonts w:hint="eastAsia" w:ascii="宋体"/>
          <w:color w:val="auto"/>
          <w:u w:val="single"/>
        </w:rPr>
        <w:t xml:space="preserve">  </w:t>
      </w:r>
      <w:r>
        <w:rPr>
          <w:rFonts w:hint="eastAsia" w:ascii="宋体"/>
          <w:color w:val="auto"/>
        </w:rPr>
        <w:t>年内，</w:t>
      </w:r>
      <w:r>
        <w:rPr>
          <w:rFonts w:hint="eastAsia"/>
          <w:color w:val="auto"/>
        </w:rPr>
        <w:t>如</w:t>
      </w:r>
      <w:r>
        <w:rPr>
          <w:rFonts w:hint="eastAsia" w:ascii="宋体"/>
          <w:color w:val="auto"/>
        </w:rPr>
        <w:t>甲方需要乙方提供维保服务或代理原厂服务,乙方应予提供。维保期结束后，由双方另行协商并签订维保技术服务合同约定产品维保期限和支付方式。甲方有权选择是否继续向乙方购买维保，乙方无权要求甲方对未使用维保服务的期间支付费用。</w:t>
      </w:r>
    </w:p>
    <w:p>
      <w:pPr>
        <w:tabs>
          <w:tab w:val="left" w:pos="993"/>
        </w:tabs>
        <w:spacing w:before="240" w:line="360" w:lineRule="auto"/>
        <w:ind w:left="877" w:firstLine="482"/>
        <w:rPr>
          <w:rFonts w:ascii="宋体"/>
          <w:b/>
          <w:bCs/>
          <w:color w:val="auto"/>
        </w:rPr>
      </w:pPr>
      <w:r>
        <w:rPr>
          <w:rFonts w:hint="eastAsia" w:ascii="宋体"/>
          <w:b/>
          <w:bCs/>
          <w:color w:val="auto"/>
        </w:rPr>
        <w:t>第八条保管风险</w:t>
      </w:r>
    </w:p>
    <w:p>
      <w:pPr>
        <w:tabs>
          <w:tab w:val="left" w:pos="851"/>
        </w:tabs>
        <w:spacing w:line="360" w:lineRule="auto"/>
        <w:ind w:firstLine="480"/>
        <w:rPr>
          <w:rFonts w:ascii="宋体"/>
          <w:color w:val="auto"/>
        </w:rPr>
      </w:pPr>
      <w:r>
        <w:rPr>
          <w:rFonts w:hint="eastAsia" w:ascii="宋体"/>
          <w:color w:val="auto"/>
        </w:rPr>
        <w:t>从本合同生效起，到乙方将设备交付甲方止，本合同中所列的设备的保管风险由乙方承担。在乙方将货物按本合同所定的交货地点交货由甲方验收后，货物的保管风险自动转移至甲方，乙方不再承担任何保管责任。</w:t>
      </w:r>
    </w:p>
    <w:p>
      <w:pPr>
        <w:tabs>
          <w:tab w:val="left" w:pos="993"/>
        </w:tabs>
        <w:spacing w:before="240" w:line="360" w:lineRule="auto"/>
        <w:ind w:left="877" w:firstLine="482"/>
        <w:rPr>
          <w:rFonts w:ascii="宋体"/>
          <w:b/>
          <w:bCs/>
          <w:color w:val="auto"/>
        </w:rPr>
      </w:pPr>
      <w:r>
        <w:rPr>
          <w:rFonts w:hint="eastAsia" w:ascii="宋体"/>
          <w:b/>
          <w:bCs/>
          <w:color w:val="auto"/>
        </w:rPr>
        <w:t>第九条违约责任</w:t>
      </w:r>
    </w:p>
    <w:p>
      <w:pPr>
        <w:tabs>
          <w:tab w:val="left" w:pos="851"/>
        </w:tabs>
        <w:spacing w:line="360" w:lineRule="auto"/>
        <w:ind w:firstLine="480"/>
        <w:rPr>
          <w:rFonts w:ascii="宋体"/>
          <w:color w:val="auto"/>
        </w:rPr>
      </w:pPr>
      <w:r>
        <w:rPr>
          <w:rFonts w:hint="eastAsia" w:ascii="宋体"/>
          <w:color w:val="auto"/>
        </w:rPr>
        <w:t>9.1 如果乙方无法按时交货，每延迟五个工作日，乙方须向甲方支付迟交货物总额的百分之一的违约金。乙方延迟交货三十个工作日以上，甲方有权终止合同，不予支付任何费用，由此造成的甲方损失由乙方承担。</w:t>
      </w:r>
    </w:p>
    <w:p>
      <w:pPr>
        <w:tabs>
          <w:tab w:val="left" w:pos="851"/>
        </w:tabs>
        <w:spacing w:line="360" w:lineRule="auto"/>
        <w:ind w:firstLine="480"/>
        <w:rPr>
          <w:rFonts w:ascii="宋体"/>
          <w:color w:val="auto"/>
        </w:rPr>
      </w:pPr>
      <w:r>
        <w:rPr>
          <w:rFonts w:hint="eastAsia" w:ascii="宋体"/>
          <w:color w:val="auto"/>
        </w:rPr>
        <w:t>9.2 如果乙方提交的产品不满足合同约定的技术要求或安装调试完毕未通过甲方验收，甲方有权终止合同，不予支付任何费用，甲方已支付的费用乙方予以返还，并要求乙方支付合同总额百分之二十的违约金。</w:t>
      </w:r>
    </w:p>
    <w:p>
      <w:pPr>
        <w:tabs>
          <w:tab w:val="left" w:pos="851"/>
        </w:tabs>
        <w:spacing w:line="360" w:lineRule="auto"/>
        <w:ind w:firstLine="480"/>
        <w:rPr>
          <w:rFonts w:ascii="宋体"/>
          <w:color w:val="auto"/>
        </w:rPr>
      </w:pPr>
      <w:r>
        <w:rPr>
          <w:rFonts w:hint="eastAsia" w:ascii="宋体"/>
          <w:color w:val="auto"/>
        </w:rPr>
        <w:t>9.3 如果乙方在维保期内未按合同附件要求提供服务（含乙方代理的原厂服务），每违反一条，乙方需向甲方支付合同总额百分之五的违约金。若乙方未按约履行维保义务，甲方有权自行或另行委托第三方维修，由此产生的费用甲方有权直接从质保金中扣除。</w:t>
      </w:r>
    </w:p>
    <w:p>
      <w:pPr>
        <w:tabs>
          <w:tab w:val="left" w:pos="851"/>
        </w:tabs>
        <w:spacing w:line="360" w:lineRule="auto"/>
        <w:ind w:firstLine="480"/>
        <w:rPr>
          <w:rFonts w:ascii="宋体"/>
          <w:color w:val="auto"/>
        </w:rPr>
      </w:pPr>
      <w:r>
        <w:rPr>
          <w:rFonts w:hint="eastAsia" w:ascii="宋体"/>
          <w:color w:val="auto"/>
        </w:rPr>
        <w:t>9.4 如果甲方不能按时付款，在逾期一个月后，每延迟一个工作日，甲方须向乙方支付未付款部分的万分之五的违约金。在延迟三十个工作日以上，乙方有权终止合同，并有权以任何方式收回已交付的设备。</w:t>
      </w:r>
    </w:p>
    <w:p>
      <w:pPr>
        <w:tabs>
          <w:tab w:val="left" w:pos="851"/>
        </w:tabs>
        <w:spacing w:line="360" w:lineRule="auto"/>
        <w:ind w:firstLine="480"/>
        <w:rPr>
          <w:rFonts w:ascii="宋体"/>
          <w:color w:val="auto"/>
        </w:rPr>
      </w:pPr>
      <w:r>
        <w:rPr>
          <w:rFonts w:hint="eastAsia" w:ascii="宋体"/>
          <w:color w:val="auto"/>
        </w:rPr>
        <w:t>9.5 在本合同履行过程中，除另有约定外，甲方有权希望提前解除本合同的，自解除通知书到达乙方之日本合同自动解除，甲方不承担违约责任，双方据实结算费用。</w:t>
      </w:r>
    </w:p>
    <w:p>
      <w:pPr>
        <w:tabs>
          <w:tab w:val="left" w:pos="993"/>
        </w:tabs>
        <w:spacing w:before="240" w:line="360" w:lineRule="auto"/>
        <w:ind w:left="877" w:firstLine="482"/>
        <w:rPr>
          <w:rFonts w:ascii="宋体"/>
          <w:b/>
          <w:bCs/>
          <w:color w:val="auto"/>
        </w:rPr>
      </w:pPr>
      <w:r>
        <w:rPr>
          <w:rFonts w:hint="eastAsia" w:ascii="宋体"/>
          <w:b/>
          <w:bCs/>
          <w:color w:val="auto"/>
        </w:rPr>
        <w:t>第十条不可抗力</w:t>
      </w:r>
    </w:p>
    <w:p>
      <w:pPr>
        <w:tabs>
          <w:tab w:val="left" w:pos="851"/>
        </w:tabs>
        <w:spacing w:line="360" w:lineRule="auto"/>
        <w:ind w:firstLine="480"/>
        <w:rPr>
          <w:rFonts w:ascii="宋体"/>
          <w:color w:val="auto"/>
        </w:rPr>
      </w:pPr>
      <w:r>
        <w:rPr>
          <w:rFonts w:hint="eastAsia" w:ascii="宋体"/>
          <w:color w:val="auto"/>
        </w:rPr>
        <w:t>10.1本合同生效后，发生不能预见并且对其发生和后果不能防止或避免的不可抗力事件，如地震、台风、水灾、火灾、战争、传染病等，致使直接影响本合同的履行或不能按约定的，发生不可抗力的一方应立即通知对方，并在十五天内提供不可抗力的详情及将有关证明文件送交对方。</w:t>
      </w:r>
    </w:p>
    <w:p>
      <w:pPr>
        <w:tabs>
          <w:tab w:val="left" w:pos="851"/>
        </w:tabs>
        <w:spacing w:line="360" w:lineRule="auto"/>
        <w:ind w:firstLine="480"/>
        <w:rPr>
          <w:color w:val="auto"/>
          <w:sz w:val="21"/>
        </w:rPr>
      </w:pPr>
      <w:r>
        <w:rPr>
          <w:rFonts w:hint="eastAsia" w:ascii="宋体"/>
          <w:color w:val="auto"/>
        </w:rPr>
        <w:t>10.2发生不可抗力事件的一方不视为违约，甲乙双方应协商以寻找一个合理的解决方法，并尽一切努力减轻不可抗力产生的后果。如不可抗力事件持续三十天时，甲乙双方应友好协商解决本合同是否继续履行或终止的问题。</w:t>
      </w:r>
    </w:p>
    <w:p>
      <w:pPr>
        <w:tabs>
          <w:tab w:val="left" w:pos="993"/>
        </w:tabs>
        <w:spacing w:before="240" w:line="360" w:lineRule="auto"/>
        <w:ind w:left="877" w:firstLine="482"/>
        <w:rPr>
          <w:rFonts w:ascii="宋体"/>
          <w:b/>
          <w:bCs/>
          <w:color w:val="auto"/>
        </w:rPr>
      </w:pPr>
      <w:r>
        <w:rPr>
          <w:rFonts w:hint="eastAsia" w:ascii="宋体"/>
          <w:b/>
          <w:bCs/>
          <w:color w:val="auto"/>
        </w:rPr>
        <w:t>第十一条争议解决</w:t>
      </w:r>
    </w:p>
    <w:p>
      <w:pPr>
        <w:spacing w:line="360" w:lineRule="auto"/>
        <w:ind w:firstLine="480"/>
        <w:rPr>
          <w:rFonts w:ascii="宋体"/>
          <w:color w:val="auto"/>
          <w:kern w:val="0"/>
        </w:rPr>
      </w:pPr>
      <w:r>
        <w:rPr>
          <w:rFonts w:hint="eastAsia" w:ascii="宋体"/>
          <w:color w:val="auto"/>
          <w:kern w:val="0"/>
        </w:rPr>
        <w:t>因本合同引起的或与本合同有关的任何争议，双方可通过协商解决，协商不成可向甲方所在地人民法院提起诉讼。</w:t>
      </w:r>
    </w:p>
    <w:p>
      <w:pPr>
        <w:tabs>
          <w:tab w:val="left" w:pos="1276"/>
        </w:tabs>
        <w:spacing w:before="240" w:line="360" w:lineRule="auto"/>
        <w:ind w:left="877" w:firstLine="482"/>
        <w:rPr>
          <w:rFonts w:ascii="宋体"/>
          <w:b/>
          <w:bCs/>
          <w:color w:val="auto"/>
          <w:szCs w:val="24"/>
        </w:rPr>
      </w:pPr>
      <w:r>
        <w:rPr>
          <w:rFonts w:hint="eastAsia" w:ascii="宋体"/>
          <w:b/>
          <w:bCs/>
          <w:color w:val="auto"/>
          <w:szCs w:val="24"/>
        </w:rPr>
        <w:t>第十二条</w:t>
      </w:r>
      <w:r>
        <w:rPr>
          <w:rFonts w:hint="eastAsia" w:ascii="宋体"/>
          <w:b/>
          <w:bCs/>
          <w:color w:val="auto"/>
        </w:rPr>
        <w:t>通知与送达</w:t>
      </w:r>
    </w:p>
    <w:p>
      <w:pPr>
        <w:spacing w:line="360" w:lineRule="auto"/>
        <w:ind w:firstLine="480"/>
        <w:rPr>
          <w:rFonts w:ascii="宋体"/>
          <w:color w:val="auto"/>
          <w:kern w:val="0"/>
        </w:rPr>
      </w:pPr>
      <w:r>
        <w:rPr>
          <w:rFonts w:hint="eastAsia" w:ascii="宋体"/>
          <w:color w:val="auto"/>
          <w:kern w:val="0"/>
        </w:rPr>
        <w:t>除双方另有约定，本合同项下的所有通知均应通过书面形式，按本合同首部载明的住所/地址及联系方式（包括但不限于邮寄、电子邮件、电话、手机短信等）进行，乙方地址、联系方式如有变动，应于10日内以书面形式通知甲方，甲方住所/地址、联系方式如有变动，应采用公告、网上银行、电话银行等方式通知乙方。否则，向本合同首部所载明的住所/地址和联系方式发送有关文件，均视为送达。</w:t>
      </w:r>
    </w:p>
    <w:p>
      <w:pPr>
        <w:spacing w:line="360" w:lineRule="auto"/>
        <w:ind w:firstLine="480"/>
        <w:rPr>
          <w:rFonts w:ascii="宋体"/>
          <w:color w:val="auto"/>
          <w:kern w:val="0"/>
        </w:rPr>
      </w:pPr>
      <w:r>
        <w:rPr>
          <w:rFonts w:hint="eastAsia" w:ascii="宋体"/>
          <w:color w:val="auto"/>
          <w:kern w:val="0"/>
        </w:rPr>
        <w:t>发生纠纷的，本合同首部所载明的住所/地址为司法送达地址，法院、仲裁机构等有权机关依照前述地址邮寄的传票、证据、通知、裁定、判决等诉讼（仲裁）文书及执行阶段法律文书资料，无论是否签收，均视为送达，当事人承担法律责任。</w:t>
      </w:r>
    </w:p>
    <w:p>
      <w:pPr>
        <w:tabs>
          <w:tab w:val="left" w:pos="1276"/>
        </w:tabs>
        <w:spacing w:before="240" w:line="360" w:lineRule="auto"/>
        <w:ind w:left="877" w:firstLine="482"/>
        <w:rPr>
          <w:rFonts w:ascii="宋体"/>
          <w:b/>
          <w:bCs/>
          <w:color w:val="auto"/>
          <w:szCs w:val="24"/>
        </w:rPr>
      </w:pPr>
      <w:r>
        <w:rPr>
          <w:rFonts w:hint="eastAsia" w:ascii="宋体"/>
          <w:b/>
          <w:bCs/>
          <w:color w:val="auto"/>
          <w:szCs w:val="24"/>
        </w:rPr>
        <w:t>第十三条</w:t>
      </w:r>
      <w:r>
        <w:rPr>
          <w:rFonts w:hint="eastAsia" w:ascii="宋体"/>
          <w:b/>
          <w:bCs/>
          <w:color w:val="auto"/>
        </w:rPr>
        <w:t>反商业贿赂</w:t>
      </w:r>
    </w:p>
    <w:p>
      <w:pPr>
        <w:spacing w:line="360" w:lineRule="auto"/>
        <w:ind w:firstLine="480"/>
        <w:rPr>
          <w:rFonts w:ascii="宋体"/>
          <w:color w:val="auto"/>
          <w:kern w:val="0"/>
        </w:rPr>
      </w:pPr>
      <w:r>
        <w:rPr>
          <w:rFonts w:hint="eastAsia" w:ascii="宋体"/>
          <w:color w:val="auto"/>
          <w:kern w:val="0"/>
        </w:rPr>
        <w:t>乙方不得对甲方或甲方任何员工有任何商业贿赂的行为，否则经查证属实后，乙方应对甲方赔付相当于合同总额50%的赔偿金。该条在法律允许的范围内，不受任何免责或限制责任的条款制约。</w:t>
      </w:r>
    </w:p>
    <w:p>
      <w:pPr>
        <w:tabs>
          <w:tab w:val="left" w:pos="1276"/>
        </w:tabs>
        <w:spacing w:before="240" w:line="360" w:lineRule="auto"/>
        <w:ind w:left="877" w:firstLine="482"/>
        <w:rPr>
          <w:rFonts w:ascii="宋体"/>
          <w:b/>
          <w:bCs/>
          <w:color w:val="auto"/>
          <w:szCs w:val="24"/>
        </w:rPr>
      </w:pPr>
      <w:r>
        <w:rPr>
          <w:rFonts w:hint="eastAsia" w:ascii="宋体"/>
          <w:b/>
          <w:bCs/>
          <w:color w:val="auto"/>
          <w:szCs w:val="24"/>
        </w:rPr>
        <w:t>第十四条</w:t>
      </w:r>
      <w:r>
        <w:rPr>
          <w:rFonts w:hint="eastAsia" w:ascii="宋体"/>
          <w:b/>
          <w:bCs/>
          <w:color w:val="auto"/>
        </w:rPr>
        <w:t>附件</w:t>
      </w:r>
    </w:p>
    <w:p>
      <w:pPr>
        <w:spacing w:line="360" w:lineRule="auto"/>
        <w:ind w:firstLine="480"/>
        <w:rPr>
          <w:rFonts w:ascii="宋体"/>
          <w:color w:val="auto"/>
        </w:rPr>
      </w:pPr>
      <w:r>
        <w:rPr>
          <w:rFonts w:hint="eastAsia" w:ascii="宋体"/>
          <w:color w:val="auto"/>
          <w:kern w:val="0"/>
        </w:rPr>
        <w:t>本合同的附件如下，为本合同不可分割的一部分，</w:t>
      </w:r>
      <w:r>
        <w:rPr>
          <w:rFonts w:hint="eastAsia" w:ascii="宋体"/>
          <w:color w:val="auto"/>
        </w:rPr>
        <w:t>附件与合同正文本具有同等法律效力，主合同正文与附件如有冲突，以主合同正文为准。</w:t>
      </w:r>
    </w:p>
    <w:p>
      <w:pPr>
        <w:spacing w:line="360" w:lineRule="auto"/>
        <w:ind w:firstLine="480"/>
        <w:rPr>
          <w:rFonts w:ascii="宋体"/>
          <w:color w:val="auto"/>
          <w:kern w:val="0"/>
        </w:rPr>
      </w:pPr>
      <w:r>
        <w:rPr>
          <w:rFonts w:hint="eastAsia" w:ascii="宋体"/>
          <w:color w:val="auto"/>
          <w:kern w:val="0"/>
        </w:rPr>
        <w:t>附件一：硬件设备签收表</w:t>
      </w:r>
    </w:p>
    <w:p>
      <w:pPr>
        <w:spacing w:line="360" w:lineRule="auto"/>
        <w:ind w:firstLine="480"/>
        <w:rPr>
          <w:rFonts w:ascii="宋体"/>
          <w:color w:val="auto"/>
          <w:kern w:val="0"/>
        </w:rPr>
      </w:pPr>
      <w:r>
        <w:rPr>
          <w:rFonts w:hint="eastAsia" w:ascii="宋体"/>
          <w:color w:val="auto"/>
          <w:kern w:val="0"/>
        </w:rPr>
        <w:t>附件二：项目最终验收表</w:t>
      </w:r>
    </w:p>
    <w:p>
      <w:pPr>
        <w:spacing w:line="360" w:lineRule="auto"/>
        <w:ind w:firstLine="480"/>
        <w:rPr>
          <w:rFonts w:ascii="宋体"/>
          <w:color w:val="auto"/>
          <w:kern w:val="0"/>
        </w:rPr>
      </w:pPr>
      <w:r>
        <w:rPr>
          <w:rFonts w:hint="eastAsia" w:ascii="宋体"/>
          <w:color w:val="auto"/>
          <w:kern w:val="0"/>
        </w:rPr>
        <w:t>附件三：维护服务内容</w:t>
      </w:r>
    </w:p>
    <w:p>
      <w:pPr>
        <w:tabs>
          <w:tab w:val="left" w:pos="1276"/>
        </w:tabs>
        <w:spacing w:before="240" w:line="360" w:lineRule="auto"/>
        <w:ind w:left="877" w:firstLine="482"/>
        <w:rPr>
          <w:rFonts w:ascii="宋体"/>
          <w:b/>
          <w:bCs/>
          <w:color w:val="auto"/>
          <w:szCs w:val="24"/>
        </w:rPr>
      </w:pPr>
      <w:r>
        <w:rPr>
          <w:rFonts w:hint="eastAsia" w:ascii="宋体"/>
          <w:b/>
          <w:bCs/>
          <w:color w:val="auto"/>
          <w:szCs w:val="24"/>
        </w:rPr>
        <w:t>第十五条</w:t>
      </w:r>
      <w:r>
        <w:rPr>
          <w:rFonts w:hint="eastAsia" w:ascii="宋体"/>
          <w:b/>
          <w:bCs/>
          <w:color w:val="auto"/>
        </w:rPr>
        <w:t>其他事宜</w:t>
      </w:r>
    </w:p>
    <w:p>
      <w:pPr>
        <w:tabs>
          <w:tab w:val="left" w:pos="851"/>
        </w:tabs>
        <w:spacing w:line="360" w:lineRule="auto"/>
        <w:ind w:firstLine="480"/>
        <w:rPr>
          <w:rFonts w:ascii="宋体"/>
          <w:color w:val="auto"/>
        </w:rPr>
      </w:pPr>
      <w:r>
        <w:rPr>
          <w:rFonts w:hint="eastAsia" w:ascii="宋体"/>
          <w:color w:val="auto"/>
        </w:rPr>
        <w:t>15.1本合同在甲乙双方加盖公章或合同章之日起后生效。</w:t>
      </w:r>
    </w:p>
    <w:p>
      <w:pPr>
        <w:tabs>
          <w:tab w:val="left" w:pos="851"/>
        </w:tabs>
        <w:spacing w:line="360" w:lineRule="auto"/>
        <w:ind w:firstLine="480"/>
        <w:rPr>
          <w:rFonts w:ascii="宋体"/>
          <w:color w:val="auto"/>
        </w:rPr>
      </w:pPr>
      <w:r>
        <w:rPr>
          <w:rFonts w:hint="eastAsia" w:ascii="宋体"/>
          <w:color w:val="auto"/>
        </w:rPr>
        <w:t>15.2本合同双方在未取得对方事先书面同意的前提下，均不得将各自本合同项下的任何权利或义务转让给第三方。</w:t>
      </w:r>
    </w:p>
    <w:p>
      <w:pPr>
        <w:tabs>
          <w:tab w:val="left" w:pos="851"/>
        </w:tabs>
        <w:spacing w:line="360" w:lineRule="auto"/>
        <w:ind w:firstLine="480"/>
        <w:rPr>
          <w:rFonts w:ascii="宋体"/>
          <w:color w:val="auto"/>
        </w:rPr>
      </w:pPr>
      <w:r>
        <w:rPr>
          <w:rFonts w:hint="eastAsia" w:ascii="宋体"/>
          <w:color w:val="auto"/>
        </w:rPr>
        <w:t>15.3本合同之未尽事宜双方协商解决，对本合同及其附件的内容进行变更，必须经双方协商一致并签订补充协议。</w:t>
      </w:r>
    </w:p>
    <w:p>
      <w:pPr>
        <w:tabs>
          <w:tab w:val="left" w:pos="851"/>
        </w:tabs>
        <w:spacing w:line="360" w:lineRule="auto"/>
        <w:ind w:firstLine="480"/>
        <w:rPr>
          <w:rFonts w:ascii="宋体"/>
          <w:color w:val="auto"/>
        </w:rPr>
      </w:pPr>
      <w:r>
        <w:rPr>
          <w:rFonts w:hint="eastAsia" w:ascii="宋体"/>
          <w:color w:val="auto"/>
        </w:rPr>
        <w:t>15.4本合同一式  肆  份，甲、乙双方各  贰  份，具有同等法律效力。</w:t>
      </w:r>
    </w:p>
    <w:p>
      <w:pPr>
        <w:tabs>
          <w:tab w:val="left" w:pos="851"/>
        </w:tabs>
        <w:spacing w:line="360" w:lineRule="auto"/>
        <w:ind w:firstLine="480"/>
        <w:rPr>
          <w:rFonts w:ascii="宋体"/>
          <w:color w:val="auto"/>
        </w:rPr>
      </w:pPr>
      <w:r>
        <w:rPr>
          <w:rFonts w:hint="eastAsia" w:ascii="宋体"/>
          <w:color w:val="auto"/>
        </w:rPr>
        <w:t>15.5本合同传真件和复印件无效。</w:t>
      </w:r>
    </w:p>
    <w:p>
      <w:pPr>
        <w:spacing w:line="360" w:lineRule="auto"/>
        <w:ind w:firstLine="482"/>
        <w:rPr>
          <w:rFonts w:ascii="宋体"/>
          <w:b/>
          <w:bCs/>
          <w:color w:val="auto"/>
        </w:rPr>
      </w:pPr>
    </w:p>
    <w:p>
      <w:pPr>
        <w:spacing w:line="360" w:lineRule="auto"/>
        <w:ind w:firstLine="482"/>
        <w:rPr>
          <w:rFonts w:ascii="宋体"/>
          <w:b/>
          <w:bCs/>
          <w:color w:val="auto"/>
        </w:rPr>
      </w:pPr>
    </w:p>
    <w:p>
      <w:pPr>
        <w:spacing w:line="360" w:lineRule="auto"/>
        <w:ind w:left="4939" w:hanging="4939" w:hangingChars="2050"/>
        <w:rPr>
          <w:rFonts w:ascii="宋体"/>
          <w:b/>
          <w:bCs/>
          <w:color w:val="auto"/>
          <w:u w:val="single"/>
        </w:rPr>
      </w:pPr>
      <w:r>
        <w:rPr>
          <w:rFonts w:hint="eastAsia" w:ascii="宋体"/>
          <w:b/>
          <w:bCs/>
          <w:color w:val="auto"/>
        </w:rPr>
        <w:t>甲方：</w:t>
      </w:r>
      <w:r>
        <w:rPr>
          <w:rFonts w:hint="eastAsia" w:ascii="宋体"/>
          <w:b/>
          <w:bCs/>
          <w:color w:val="auto"/>
          <w:u w:val="single"/>
        </w:rPr>
        <w:t>重庆三峡银行股份有限公司</w:t>
      </w:r>
      <w:r>
        <w:rPr>
          <w:rFonts w:hint="eastAsia" w:ascii="宋体"/>
          <w:b/>
          <w:bCs/>
          <w:color w:val="auto"/>
        </w:rPr>
        <w:t xml:space="preserve">     乙方：</w:t>
      </w:r>
      <w:r>
        <w:rPr>
          <w:rFonts w:hint="eastAsia" w:ascii="宋体"/>
          <w:b/>
          <w:bCs/>
          <w:color w:val="auto"/>
          <w:u w:val="single"/>
        </w:rPr>
        <w:t xml:space="preserve">xxxxx公司       </w:t>
      </w:r>
    </w:p>
    <w:p>
      <w:pPr>
        <w:spacing w:line="360" w:lineRule="auto"/>
        <w:ind w:firstLine="482"/>
        <w:rPr>
          <w:rFonts w:ascii="宋体"/>
          <w:b/>
          <w:bCs/>
          <w:color w:val="auto"/>
        </w:rPr>
      </w:pPr>
    </w:p>
    <w:p>
      <w:pPr>
        <w:spacing w:line="360" w:lineRule="auto"/>
        <w:ind w:firstLine="482"/>
        <w:rPr>
          <w:rFonts w:ascii="宋体"/>
          <w:b/>
          <w:bCs/>
          <w:color w:val="auto"/>
        </w:rPr>
      </w:pPr>
      <w:r>
        <w:rPr>
          <w:rFonts w:hint="eastAsia" w:ascii="宋体"/>
          <w:b/>
          <w:bCs/>
          <w:color w:val="auto"/>
        </w:rPr>
        <w:t>法定代表人(或授权代表)             法定代表人(或授权代表)</w:t>
      </w:r>
    </w:p>
    <w:p>
      <w:pPr>
        <w:spacing w:line="360" w:lineRule="auto"/>
        <w:ind w:firstLine="482"/>
        <w:rPr>
          <w:rFonts w:ascii="宋体"/>
          <w:b/>
          <w:bCs/>
          <w:color w:val="auto"/>
        </w:rPr>
      </w:pPr>
      <w:r>
        <w:rPr>
          <w:rFonts w:hint="eastAsia" w:ascii="宋体"/>
          <w:b/>
          <w:bCs/>
          <w:color w:val="auto"/>
        </w:rPr>
        <w:t>（签章）：               （签章）：</w:t>
      </w:r>
    </w:p>
    <w:p>
      <w:pPr>
        <w:spacing w:line="360" w:lineRule="auto"/>
        <w:ind w:firstLine="482"/>
        <w:rPr>
          <w:rFonts w:ascii="宋体"/>
          <w:b/>
          <w:bCs/>
          <w:color w:val="auto"/>
        </w:rPr>
      </w:pPr>
      <w:r>
        <w:rPr>
          <w:rFonts w:hint="eastAsia" w:ascii="宋体"/>
          <w:b/>
          <w:bCs/>
          <w:color w:val="auto"/>
        </w:rPr>
        <w:tab/>
      </w:r>
      <w:r>
        <w:rPr>
          <w:rFonts w:hint="eastAsia" w:ascii="宋体"/>
          <w:b/>
          <w:bCs/>
          <w:color w:val="auto"/>
        </w:rPr>
        <w:tab/>
      </w:r>
      <w:r>
        <w:rPr>
          <w:rFonts w:hint="eastAsia" w:ascii="宋体"/>
          <w:b/>
          <w:bCs/>
          <w:color w:val="auto"/>
        </w:rPr>
        <w:tab/>
      </w:r>
      <w:r>
        <w:rPr>
          <w:rFonts w:hint="eastAsia" w:ascii="宋体"/>
          <w:b/>
          <w:bCs/>
          <w:color w:val="auto"/>
        </w:rPr>
        <w:tab/>
      </w:r>
      <w:r>
        <w:rPr>
          <w:rFonts w:hint="eastAsia" w:ascii="宋体"/>
          <w:b/>
          <w:bCs/>
          <w:color w:val="auto"/>
        </w:rPr>
        <w:tab/>
      </w:r>
      <w:r>
        <w:rPr>
          <w:rFonts w:hint="eastAsia" w:ascii="宋体"/>
          <w:b/>
          <w:bCs/>
          <w:color w:val="auto"/>
        </w:rPr>
        <w:tab/>
      </w:r>
    </w:p>
    <w:p>
      <w:pPr>
        <w:spacing w:line="360" w:lineRule="auto"/>
        <w:ind w:firstLine="482"/>
        <w:rPr>
          <w:rFonts w:ascii="宋体"/>
          <w:b/>
          <w:bCs/>
          <w:color w:val="auto"/>
        </w:rPr>
      </w:pPr>
      <w:r>
        <w:rPr>
          <w:rFonts w:hint="eastAsia" w:ascii="宋体"/>
          <w:b/>
          <w:bCs/>
          <w:color w:val="auto"/>
        </w:rPr>
        <w:t>日期：年月日         日期：年月日</w:t>
      </w:r>
    </w:p>
    <w:p>
      <w:pPr>
        <w:spacing w:line="360" w:lineRule="auto"/>
        <w:ind w:firstLine="482"/>
        <w:rPr>
          <w:rFonts w:ascii="宋体"/>
          <w:b/>
          <w:bCs/>
          <w:color w:val="auto"/>
        </w:rPr>
      </w:pPr>
    </w:p>
    <w:p>
      <w:pPr>
        <w:spacing w:line="360" w:lineRule="auto"/>
        <w:ind w:firstLine="482"/>
        <w:rPr>
          <w:rFonts w:ascii="宋体"/>
          <w:b/>
          <w:bCs/>
          <w:color w:val="auto"/>
        </w:rPr>
        <w:sectPr>
          <w:pgSz w:w="11906" w:h="16838"/>
          <w:pgMar w:top="1440" w:right="1800" w:bottom="1440" w:left="1800" w:header="680" w:footer="680" w:gutter="0"/>
          <w:pgNumType w:fmt="decimal" w:chapStyle="1"/>
          <w:cols w:space="720" w:num="1"/>
          <w:docGrid w:type="lines" w:linePitch="312" w:charSpace="0"/>
        </w:sectPr>
      </w:pPr>
    </w:p>
    <w:p>
      <w:pPr>
        <w:spacing w:line="360" w:lineRule="auto"/>
        <w:ind w:firstLine="482"/>
        <w:rPr>
          <w:rFonts w:ascii="宋体"/>
          <w:b/>
          <w:bCs/>
          <w:color w:val="auto"/>
        </w:rPr>
      </w:pPr>
    </w:p>
    <w:p>
      <w:pPr>
        <w:spacing w:line="360" w:lineRule="auto"/>
        <w:ind w:firstLine="482"/>
        <w:rPr>
          <w:rFonts w:ascii="宋体"/>
          <w:b/>
          <w:bCs/>
          <w:color w:val="auto"/>
        </w:rPr>
      </w:pPr>
      <w:r>
        <w:rPr>
          <w:rFonts w:hint="eastAsia" w:ascii="宋体"/>
          <w:b/>
          <w:bCs/>
          <w:color w:val="auto"/>
        </w:rPr>
        <w:t>附件1 硬件设备签收表</w:t>
      </w:r>
    </w:p>
    <w:tbl>
      <w:tblPr>
        <w:tblStyle w:val="18"/>
        <w:tblW w:w="4998" w:type="pct"/>
        <w:tblInd w:w="0" w:type="dxa"/>
        <w:tblLayout w:type="autofit"/>
        <w:tblCellMar>
          <w:top w:w="0" w:type="dxa"/>
          <w:left w:w="108" w:type="dxa"/>
          <w:bottom w:w="0" w:type="dxa"/>
          <w:right w:w="108" w:type="dxa"/>
        </w:tblCellMar>
      </w:tblPr>
      <w:tblGrid>
        <w:gridCol w:w="813"/>
        <w:gridCol w:w="221"/>
        <w:gridCol w:w="833"/>
        <w:gridCol w:w="1456"/>
        <w:gridCol w:w="2088"/>
        <w:gridCol w:w="1037"/>
        <w:gridCol w:w="635"/>
        <w:gridCol w:w="414"/>
        <w:gridCol w:w="1250"/>
        <w:gridCol w:w="1731"/>
        <w:gridCol w:w="975"/>
        <w:gridCol w:w="1649"/>
        <w:gridCol w:w="1066"/>
      </w:tblGrid>
      <w:tr>
        <w:tblPrEx>
          <w:tblCellMar>
            <w:top w:w="0" w:type="dxa"/>
            <w:left w:w="108" w:type="dxa"/>
            <w:bottom w:w="0" w:type="dxa"/>
            <w:right w:w="108" w:type="dxa"/>
          </w:tblCellMar>
        </w:tblPrEx>
        <w:trPr>
          <w:gridBefore w:val="1"/>
          <w:gridAfter w:val="1"/>
          <w:wBefore w:w="287" w:type="pct"/>
          <w:wAfter w:w="374" w:type="pct"/>
          <w:trHeight w:val="300" w:hRule="atLeast"/>
        </w:trPr>
        <w:tc>
          <w:tcPr>
            <w:tcW w:w="4337" w:type="pct"/>
            <w:gridSpan w:val="11"/>
            <w:tcBorders>
              <w:top w:val="nil"/>
              <w:left w:val="nil"/>
              <w:bottom w:val="nil"/>
              <w:right w:val="nil"/>
            </w:tcBorders>
            <w:vAlign w:val="center"/>
          </w:tcPr>
          <w:p>
            <w:pPr>
              <w:widowControl/>
              <w:spacing w:line="360" w:lineRule="auto"/>
              <w:ind w:firstLine="0" w:firstLineChars="0"/>
              <w:jc w:val="center"/>
              <w:rPr>
                <w:rFonts w:ascii="方正小标宋_GBK" w:eastAsia="方正小标宋_GBK" w:cs="宋体"/>
                <w:color w:val="auto"/>
                <w:kern w:val="0"/>
                <w:sz w:val="44"/>
                <w:szCs w:val="44"/>
              </w:rPr>
            </w:pPr>
            <w:r>
              <w:rPr>
                <w:rFonts w:hint="eastAsia" w:ascii="方正小标宋_GBK" w:eastAsia="方正小标宋_GBK" w:cs="宋体"/>
                <w:color w:val="auto"/>
                <w:kern w:val="0"/>
                <w:sz w:val="44"/>
                <w:szCs w:val="44"/>
              </w:rPr>
              <w:t>硬件设备签收表</w:t>
            </w:r>
          </w:p>
        </w:tc>
      </w:tr>
      <w:tr>
        <w:tblPrEx>
          <w:tblCellMar>
            <w:top w:w="0" w:type="dxa"/>
            <w:left w:w="108" w:type="dxa"/>
            <w:bottom w:w="0" w:type="dxa"/>
            <w:right w:w="108" w:type="dxa"/>
          </w:tblCellMar>
        </w:tblPrEx>
        <w:trPr>
          <w:trHeight w:val="563" w:hRule="atLeast"/>
        </w:trPr>
        <w:tc>
          <w:tcPr>
            <w:tcW w:w="659"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r>
              <w:rPr>
                <w:rFonts w:hint="eastAsia" w:ascii="宋体"/>
                <w:color w:val="auto"/>
              </w:rPr>
              <w:t>项目名称</w:t>
            </w:r>
          </w:p>
        </w:tc>
        <w:tc>
          <w:tcPr>
            <w:tcW w:w="1987"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139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r>
              <w:rPr>
                <w:rFonts w:hint="eastAsia" w:ascii="宋体"/>
                <w:color w:val="auto"/>
              </w:rPr>
              <w:t>交付时间</w:t>
            </w:r>
          </w:p>
        </w:tc>
        <w:tc>
          <w:tcPr>
            <w:tcW w:w="95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r>
      <w:tr>
        <w:tblPrEx>
          <w:tblCellMar>
            <w:top w:w="0" w:type="dxa"/>
            <w:left w:w="108" w:type="dxa"/>
            <w:bottom w:w="0" w:type="dxa"/>
            <w:right w:w="108" w:type="dxa"/>
          </w:tblCellMar>
        </w:tblPrEx>
        <w:trPr>
          <w:trHeight w:val="439" w:hRule="atLeast"/>
        </w:trPr>
        <w:tc>
          <w:tcPr>
            <w:tcW w:w="36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r>
              <w:rPr>
                <w:rFonts w:hint="eastAsia" w:ascii="宋体"/>
                <w:color w:val="auto"/>
              </w:rPr>
              <w:t>序号</w:t>
            </w:r>
          </w:p>
        </w:tc>
        <w:tc>
          <w:tcPr>
            <w:tcW w:w="80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r>
              <w:rPr>
                <w:rFonts w:hint="eastAsia" w:ascii="宋体" w:cs="宋体"/>
                <w:color w:val="auto"/>
                <w:kern w:val="0"/>
                <w:sz w:val="22"/>
                <w:szCs w:val="22"/>
              </w:rPr>
              <w:t>设备名称</w:t>
            </w:r>
          </w:p>
        </w:tc>
        <w:tc>
          <w:tcPr>
            <w:tcW w:w="737"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r>
              <w:rPr>
                <w:rFonts w:hint="eastAsia" w:ascii="宋体" w:cs="宋体"/>
                <w:color w:val="auto"/>
                <w:kern w:val="0"/>
                <w:sz w:val="22"/>
                <w:szCs w:val="22"/>
              </w:rPr>
              <w:t>序列号</w:t>
            </w: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r>
              <w:rPr>
                <w:rFonts w:hint="eastAsia" w:ascii="宋体" w:cs="宋体"/>
                <w:color w:val="auto"/>
                <w:kern w:val="0"/>
                <w:sz w:val="22"/>
                <w:szCs w:val="22"/>
              </w:rPr>
              <w:t>单价</w:t>
            </w:r>
          </w:p>
        </w:tc>
        <w:tc>
          <w:tcPr>
            <w:tcW w:w="36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r>
              <w:rPr>
                <w:rFonts w:hint="eastAsia" w:ascii="宋体"/>
                <w:color w:val="auto"/>
              </w:rPr>
              <w:t>数量</w:t>
            </w:r>
          </w:p>
        </w:tc>
        <w:tc>
          <w:tcPr>
            <w:tcW w:w="44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s="宋体"/>
                <w:color w:val="auto"/>
                <w:kern w:val="0"/>
                <w:sz w:val="22"/>
                <w:szCs w:val="22"/>
              </w:rPr>
            </w:pPr>
            <w:r>
              <w:rPr>
                <w:rFonts w:hint="eastAsia" w:ascii="宋体" w:cs="宋体"/>
                <w:color w:val="auto"/>
                <w:kern w:val="0"/>
                <w:sz w:val="22"/>
                <w:szCs w:val="22"/>
              </w:rPr>
              <w:t>税率</w:t>
            </w:r>
          </w:p>
        </w:tc>
        <w:tc>
          <w:tcPr>
            <w:tcW w:w="61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s="宋体"/>
                <w:color w:val="auto"/>
                <w:kern w:val="0"/>
                <w:sz w:val="22"/>
                <w:szCs w:val="22"/>
              </w:rPr>
            </w:pPr>
            <w:r>
              <w:rPr>
                <w:rFonts w:hint="eastAsia" w:ascii="宋体" w:cs="宋体"/>
                <w:color w:val="auto"/>
                <w:kern w:val="0"/>
                <w:sz w:val="22"/>
                <w:szCs w:val="22"/>
              </w:rPr>
              <w:t>维保时间</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s="宋体"/>
                <w:color w:val="auto"/>
                <w:kern w:val="0"/>
                <w:sz w:val="22"/>
                <w:szCs w:val="22"/>
              </w:rPr>
            </w:pPr>
            <w:r>
              <w:rPr>
                <w:rFonts w:hint="eastAsia" w:ascii="宋体" w:cs="宋体"/>
                <w:color w:val="auto"/>
                <w:kern w:val="0"/>
                <w:sz w:val="22"/>
                <w:szCs w:val="22"/>
              </w:rPr>
              <w:t>总价</w:t>
            </w:r>
          </w:p>
        </w:tc>
        <w:tc>
          <w:tcPr>
            <w:tcW w:w="95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r>
              <w:rPr>
                <w:rFonts w:hint="eastAsia" w:ascii="宋体" w:cs="宋体"/>
                <w:color w:val="auto"/>
                <w:kern w:val="0"/>
                <w:sz w:val="22"/>
                <w:szCs w:val="22"/>
              </w:rPr>
              <w:t>检验结果</w:t>
            </w:r>
          </w:p>
        </w:tc>
      </w:tr>
      <w:tr>
        <w:tblPrEx>
          <w:tblCellMar>
            <w:top w:w="0" w:type="dxa"/>
            <w:left w:w="108" w:type="dxa"/>
            <w:bottom w:w="0" w:type="dxa"/>
            <w:right w:w="108" w:type="dxa"/>
          </w:tblCellMar>
        </w:tblPrEx>
        <w:trPr>
          <w:trHeight w:val="458" w:hRule="atLeast"/>
        </w:trPr>
        <w:tc>
          <w:tcPr>
            <w:tcW w:w="36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737"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36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44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61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95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r>
      <w:tr>
        <w:tblPrEx>
          <w:tblCellMar>
            <w:top w:w="0" w:type="dxa"/>
            <w:left w:w="108" w:type="dxa"/>
            <w:bottom w:w="0" w:type="dxa"/>
            <w:right w:w="108" w:type="dxa"/>
          </w:tblCellMar>
        </w:tblPrEx>
        <w:trPr>
          <w:trHeight w:val="409" w:hRule="atLeast"/>
        </w:trPr>
        <w:tc>
          <w:tcPr>
            <w:tcW w:w="36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737"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36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44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61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95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r>
      <w:tr>
        <w:tblPrEx>
          <w:tblCellMar>
            <w:top w:w="0" w:type="dxa"/>
            <w:left w:w="108" w:type="dxa"/>
            <w:bottom w:w="0" w:type="dxa"/>
            <w:right w:w="108" w:type="dxa"/>
          </w:tblCellMar>
        </w:tblPrEx>
        <w:trPr>
          <w:trHeight w:val="452" w:hRule="atLeast"/>
        </w:trPr>
        <w:tc>
          <w:tcPr>
            <w:tcW w:w="36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80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737"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36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44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61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c>
          <w:tcPr>
            <w:tcW w:w="956"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Cs w:val="24"/>
              </w:rPr>
            </w:pPr>
          </w:p>
        </w:tc>
      </w:tr>
      <w:tr>
        <w:tblPrEx>
          <w:tblCellMar>
            <w:top w:w="0" w:type="dxa"/>
            <w:left w:w="108" w:type="dxa"/>
            <w:bottom w:w="0" w:type="dxa"/>
            <w:right w:w="108" w:type="dxa"/>
          </w:tblCellMar>
        </w:tblPrEx>
        <w:trPr>
          <w:trHeight w:val="848" w:hRule="atLeast"/>
        </w:trPr>
        <w:tc>
          <w:tcPr>
            <w:tcW w:w="5000" w:type="pct"/>
            <w:gridSpan w:val="1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rPr>
                <w:rFonts w:ascii="宋体"/>
                <w:color w:val="auto"/>
                <w:szCs w:val="24"/>
              </w:rPr>
            </w:pPr>
            <w:r>
              <w:rPr>
                <w:rFonts w:hint="eastAsia" w:ascii="宋体"/>
                <w:color w:val="auto"/>
              </w:rPr>
              <w:t>签收说明：我单位已收到货物，型号无误、数量齐全、加电测试通过，可进行签收。</w:t>
            </w:r>
          </w:p>
        </w:tc>
      </w:tr>
      <w:tr>
        <w:tblPrEx>
          <w:tblCellMar>
            <w:top w:w="0" w:type="dxa"/>
            <w:left w:w="108" w:type="dxa"/>
            <w:bottom w:w="0" w:type="dxa"/>
            <w:right w:w="108" w:type="dxa"/>
          </w:tblCellMar>
        </w:tblPrEx>
        <w:trPr>
          <w:trHeight w:val="90" w:hRule="atLeast"/>
        </w:trPr>
        <w:tc>
          <w:tcPr>
            <w:tcW w:w="2500"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rPr>
            </w:pPr>
            <w:r>
              <w:rPr>
                <w:rFonts w:hint="eastAsia" w:ascii="宋体"/>
                <w:color w:val="auto"/>
              </w:rPr>
              <w:t>签收人：</w:t>
            </w:r>
          </w:p>
          <w:p>
            <w:pPr>
              <w:spacing w:line="360" w:lineRule="auto"/>
              <w:ind w:firstLine="0" w:firstLineChars="0"/>
              <w:rPr>
                <w:rFonts w:ascii="宋体"/>
                <w:color w:val="auto"/>
              </w:rPr>
            </w:pPr>
          </w:p>
          <w:p>
            <w:pPr>
              <w:spacing w:line="360" w:lineRule="auto"/>
              <w:ind w:firstLine="0" w:firstLineChars="0"/>
              <w:rPr>
                <w:rFonts w:ascii="宋体"/>
                <w:color w:val="auto"/>
              </w:rPr>
            </w:pPr>
          </w:p>
          <w:p>
            <w:pPr>
              <w:spacing w:line="360" w:lineRule="auto"/>
              <w:ind w:firstLine="0" w:firstLineChars="0"/>
              <w:rPr>
                <w:rFonts w:ascii="宋体"/>
                <w:color w:val="auto"/>
                <w:szCs w:val="24"/>
              </w:rPr>
            </w:pPr>
            <w:r>
              <w:rPr>
                <w:rFonts w:hint="eastAsia" w:ascii="宋体"/>
                <w:color w:val="auto"/>
              </w:rPr>
              <w:t>年  月  日</w:t>
            </w:r>
          </w:p>
        </w:tc>
        <w:tc>
          <w:tcPr>
            <w:tcW w:w="2499" w:type="pct"/>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rPr>
                <w:rFonts w:ascii="宋体"/>
                <w:color w:val="auto"/>
              </w:rPr>
            </w:pPr>
            <w:r>
              <w:rPr>
                <w:rFonts w:hint="eastAsia" w:ascii="宋体"/>
                <w:color w:val="auto"/>
              </w:rPr>
              <w:t>复核人：</w:t>
            </w:r>
          </w:p>
          <w:p>
            <w:pPr>
              <w:widowControl/>
              <w:spacing w:line="360" w:lineRule="auto"/>
              <w:ind w:firstLine="0" w:firstLineChars="0"/>
              <w:rPr>
                <w:rFonts w:ascii="宋体"/>
                <w:color w:val="auto"/>
              </w:rPr>
            </w:pPr>
          </w:p>
          <w:p>
            <w:pPr>
              <w:widowControl/>
              <w:spacing w:line="360" w:lineRule="auto"/>
              <w:ind w:firstLine="0" w:firstLineChars="0"/>
              <w:rPr>
                <w:rFonts w:ascii="宋体"/>
                <w:color w:val="auto"/>
              </w:rPr>
            </w:pPr>
          </w:p>
          <w:p>
            <w:pPr>
              <w:spacing w:line="360" w:lineRule="auto"/>
              <w:ind w:firstLine="0" w:firstLineChars="0"/>
              <w:rPr>
                <w:rFonts w:ascii="宋体"/>
                <w:color w:val="auto"/>
                <w:szCs w:val="24"/>
              </w:rPr>
            </w:pPr>
            <w:r>
              <w:rPr>
                <w:rFonts w:hint="eastAsia" w:ascii="宋体"/>
                <w:color w:val="auto"/>
              </w:rPr>
              <w:t>年  月  日</w:t>
            </w:r>
          </w:p>
        </w:tc>
      </w:tr>
    </w:tbl>
    <w:p>
      <w:pPr>
        <w:tabs>
          <w:tab w:val="left" w:pos="2505"/>
        </w:tabs>
        <w:spacing w:line="360" w:lineRule="auto"/>
        <w:ind w:firstLine="480"/>
        <w:rPr>
          <w:rFonts w:ascii="宋体"/>
          <w:color w:val="auto"/>
        </w:rPr>
        <w:sectPr>
          <w:pgSz w:w="16838" w:h="11906" w:orient="landscape"/>
          <w:pgMar w:top="1800" w:right="1440" w:bottom="1800" w:left="1440" w:header="680" w:footer="680" w:gutter="0"/>
          <w:pgNumType w:fmt="decimal" w:chapStyle="1"/>
          <w:cols w:space="720" w:num="1"/>
          <w:docGrid w:type="lines" w:linePitch="312" w:charSpace="0"/>
        </w:sectPr>
      </w:pPr>
    </w:p>
    <w:p>
      <w:pPr>
        <w:tabs>
          <w:tab w:val="left" w:pos="2505"/>
        </w:tabs>
        <w:spacing w:line="360" w:lineRule="auto"/>
        <w:ind w:firstLine="480"/>
        <w:rPr>
          <w:rFonts w:ascii="宋体"/>
          <w:color w:val="auto"/>
        </w:rPr>
      </w:pPr>
    </w:p>
    <w:p>
      <w:pPr>
        <w:spacing w:line="360" w:lineRule="auto"/>
        <w:ind w:firstLine="482"/>
        <w:rPr>
          <w:rFonts w:ascii="宋体"/>
          <w:color w:val="auto"/>
        </w:rPr>
      </w:pPr>
      <w:r>
        <w:rPr>
          <w:rFonts w:hint="eastAsia" w:ascii="宋体"/>
          <w:b/>
          <w:bCs/>
          <w:color w:val="auto"/>
        </w:rPr>
        <w:t>附件2  最终验收表</w:t>
      </w:r>
    </w:p>
    <w:tbl>
      <w:tblPr>
        <w:tblStyle w:val="18"/>
        <w:tblW w:w="4999" w:type="pct"/>
        <w:tblInd w:w="0" w:type="dxa"/>
        <w:tblLayout w:type="autofit"/>
        <w:tblCellMar>
          <w:top w:w="0" w:type="dxa"/>
          <w:left w:w="108" w:type="dxa"/>
          <w:bottom w:w="0" w:type="dxa"/>
          <w:right w:w="108" w:type="dxa"/>
        </w:tblCellMar>
      </w:tblPr>
      <w:tblGrid>
        <w:gridCol w:w="489"/>
        <w:gridCol w:w="637"/>
        <w:gridCol w:w="1502"/>
        <w:gridCol w:w="1004"/>
        <w:gridCol w:w="557"/>
        <w:gridCol w:w="443"/>
        <w:gridCol w:w="755"/>
        <w:gridCol w:w="1377"/>
        <w:gridCol w:w="752"/>
        <w:gridCol w:w="366"/>
        <w:gridCol w:w="638"/>
      </w:tblGrid>
      <w:tr>
        <w:trPr>
          <w:gridBefore w:val="1"/>
          <w:gridAfter w:val="1"/>
          <w:wBefore w:w="287" w:type="pct"/>
          <w:wAfter w:w="374" w:type="pct"/>
          <w:trHeight w:val="300" w:hRule="atLeast"/>
        </w:trPr>
        <w:tc>
          <w:tcPr>
            <w:tcW w:w="4337" w:type="pct"/>
            <w:gridSpan w:val="9"/>
            <w:tcBorders>
              <w:top w:val="nil"/>
              <w:left w:val="nil"/>
              <w:bottom w:val="nil"/>
              <w:right w:val="nil"/>
            </w:tcBorders>
            <w:vAlign w:val="center"/>
          </w:tcPr>
          <w:p>
            <w:pPr>
              <w:widowControl/>
              <w:spacing w:line="360" w:lineRule="auto"/>
              <w:ind w:firstLine="0" w:firstLineChars="0"/>
              <w:jc w:val="center"/>
              <w:rPr>
                <w:rFonts w:ascii="方正小标宋_GBK" w:eastAsia="方正小标宋_GBK" w:cs="宋体"/>
                <w:color w:val="auto"/>
                <w:kern w:val="0"/>
                <w:sz w:val="21"/>
                <w:szCs w:val="21"/>
              </w:rPr>
            </w:pPr>
            <w:r>
              <w:rPr>
                <w:rFonts w:hint="eastAsia" w:ascii="方正小标宋_GBK" w:eastAsia="方正小标宋_GBK" w:cs="宋体"/>
                <w:color w:val="auto"/>
                <w:kern w:val="0"/>
                <w:sz w:val="21"/>
                <w:szCs w:val="21"/>
              </w:rPr>
              <w:t>最终验收表</w:t>
            </w:r>
          </w:p>
        </w:tc>
      </w:tr>
      <w:tr>
        <w:tblPrEx>
          <w:tblCellMar>
            <w:top w:w="0" w:type="dxa"/>
            <w:left w:w="108" w:type="dxa"/>
            <w:bottom w:w="0" w:type="dxa"/>
            <w:right w:w="108" w:type="dxa"/>
          </w:tblCellMar>
        </w:tblPrEx>
        <w:trPr>
          <w:trHeight w:val="847" w:hRule="atLeast"/>
        </w:trPr>
        <w:tc>
          <w:tcPr>
            <w:tcW w:w="66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r>
              <w:rPr>
                <w:rFonts w:hint="eastAsia" w:ascii="宋体"/>
                <w:color w:val="auto"/>
                <w:sz w:val="21"/>
                <w:szCs w:val="21"/>
              </w:rPr>
              <w:t>项目名称</w:t>
            </w:r>
          </w:p>
        </w:tc>
        <w:tc>
          <w:tcPr>
            <w:tcW w:w="2500"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r>
              <w:rPr>
                <w:rFonts w:hint="eastAsia" w:ascii="宋体"/>
                <w:color w:val="auto"/>
                <w:sz w:val="21"/>
                <w:szCs w:val="21"/>
              </w:rPr>
              <w:t>验收时间</w:t>
            </w:r>
          </w:p>
        </w:tc>
        <w:tc>
          <w:tcPr>
            <w:tcW w:w="1029"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r>
      <w:tr>
        <w:tblPrEx>
          <w:tblCellMar>
            <w:top w:w="0" w:type="dxa"/>
            <w:left w:w="108" w:type="dxa"/>
            <w:bottom w:w="0" w:type="dxa"/>
            <w:right w:w="108" w:type="dxa"/>
          </w:tblCellMar>
        </w:tblPrEx>
        <w:trPr>
          <w:trHeight w:val="844" w:hRule="atLeast"/>
        </w:trPr>
        <w:tc>
          <w:tcPr>
            <w:tcW w:w="66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r>
              <w:rPr>
                <w:rFonts w:hint="eastAsia" w:ascii="宋体"/>
                <w:color w:val="auto"/>
                <w:sz w:val="21"/>
                <w:szCs w:val="21"/>
              </w:rPr>
              <w:t>验收地点</w:t>
            </w:r>
          </w:p>
        </w:tc>
        <w:tc>
          <w:tcPr>
            <w:tcW w:w="147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c>
          <w:tcPr>
            <w:tcW w:w="1029"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r>
              <w:rPr>
                <w:rFonts w:hint="eastAsia" w:ascii="宋体"/>
                <w:color w:val="auto"/>
                <w:sz w:val="21"/>
                <w:szCs w:val="21"/>
              </w:rPr>
              <w:t>项目经理</w:t>
            </w:r>
          </w:p>
        </w:tc>
        <w:tc>
          <w:tcPr>
            <w:tcW w:w="1837"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p>
        </w:tc>
      </w:tr>
      <w:tr>
        <w:tblPrEx>
          <w:tblCellMar>
            <w:top w:w="0" w:type="dxa"/>
            <w:left w:w="108" w:type="dxa"/>
            <w:bottom w:w="0" w:type="dxa"/>
            <w:right w:w="108" w:type="dxa"/>
          </w:tblCellMar>
        </w:tblPrEx>
        <w:trPr>
          <w:trHeight w:val="439" w:hRule="atLeast"/>
        </w:trPr>
        <w:tc>
          <w:tcPr>
            <w:tcW w:w="66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r>
              <w:rPr>
                <w:rFonts w:hint="eastAsia" w:ascii="宋体"/>
                <w:color w:val="auto"/>
                <w:sz w:val="21"/>
                <w:szCs w:val="21"/>
              </w:rPr>
              <w:t>硬件设备运行情况</w:t>
            </w:r>
          </w:p>
        </w:tc>
        <w:tc>
          <w:tcPr>
            <w:tcW w:w="8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r>
              <w:rPr>
                <w:rFonts w:hint="eastAsia" w:ascii="宋体" w:cs="宋体"/>
                <w:color w:val="auto"/>
                <w:kern w:val="0"/>
                <w:sz w:val="21"/>
                <w:szCs w:val="21"/>
              </w:rPr>
              <w:t>设备名称</w:t>
            </w:r>
          </w:p>
        </w:tc>
        <w:tc>
          <w:tcPr>
            <w:tcW w:w="117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r>
              <w:rPr>
                <w:rFonts w:hint="eastAsia" w:ascii="宋体" w:cs="宋体"/>
                <w:color w:val="auto"/>
                <w:kern w:val="0"/>
                <w:sz w:val="21"/>
                <w:szCs w:val="21"/>
              </w:rPr>
              <w:t>序列号</w:t>
            </w:r>
          </w:p>
        </w:tc>
        <w:tc>
          <w:tcPr>
            <w:tcW w:w="44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r>
              <w:rPr>
                <w:rFonts w:hint="eastAsia" w:ascii="宋体" w:cs="宋体"/>
                <w:color w:val="auto"/>
                <w:kern w:val="0"/>
                <w:sz w:val="21"/>
                <w:szCs w:val="21"/>
              </w:rPr>
              <w:t>数量</w:t>
            </w:r>
          </w:p>
        </w:tc>
        <w:tc>
          <w:tcPr>
            <w:tcW w:w="1249"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s="宋体"/>
                <w:color w:val="auto"/>
                <w:kern w:val="0"/>
                <w:sz w:val="21"/>
                <w:szCs w:val="21"/>
              </w:rPr>
            </w:pPr>
            <w:r>
              <w:rPr>
                <w:rFonts w:hint="eastAsia" w:ascii="宋体" w:cs="宋体"/>
                <w:color w:val="auto"/>
                <w:kern w:val="0"/>
                <w:sz w:val="21"/>
                <w:szCs w:val="21"/>
              </w:rPr>
              <w:t>原厂服务</w:t>
            </w:r>
          </w:p>
          <w:p>
            <w:pPr>
              <w:spacing w:line="360" w:lineRule="auto"/>
              <w:ind w:firstLine="0" w:firstLineChars="0"/>
              <w:jc w:val="center"/>
              <w:rPr>
                <w:rFonts w:ascii="宋体"/>
                <w:color w:val="auto"/>
                <w:sz w:val="21"/>
                <w:szCs w:val="21"/>
              </w:rPr>
            </w:pPr>
            <w:r>
              <w:rPr>
                <w:rFonts w:hint="eastAsia" w:ascii="宋体" w:cs="宋体"/>
                <w:color w:val="auto"/>
                <w:kern w:val="0"/>
                <w:sz w:val="21"/>
                <w:szCs w:val="21"/>
              </w:rPr>
              <w:t>起止时间</w:t>
            </w:r>
          </w:p>
        </w:tc>
        <w:tc>
          <w:tcPr>
            <w:tcW w:w="58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r>
              <w:rPr>
                <w:rFonts w:hint="eastAsia" w:ascii="宋体" w:cs="宋体"/>
                <w:color w:val="auto"/>
                <w:kern w:val="0"/>
                <w:sz w:val="21"/>
                <w:szCs w:val="21"/>
              </w:rPr>
              <w:t>运行情况</w:t>
            </w:r>
          </w:p>
        </w:tc>
      </w:tr>
      <w:tr>
        <w:tblPrEx>
          <w:tblCellMar>
            <w:top w:w="0" w:type="dxa"/>
            <w:left w:w="108" w:type="dxa"/>
            <w:bottom w:w="0" w:type="dxa"/>
            <w:right w:w="108" w:type="dxa"/>
          </w:tblCellMar>
        </w:tblPrEx>
        <w:trPr>
          <w:trHeight w:val="884" w:hRule="atLeast"/>
        </w:trPr>
        <w:tc>
          <w:tcPr>
            <w:tcW w:w="66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color w:val="auto"/>
                <w:sz w:val="21"/>
                <w:szCs w:val="21"/>
              </w:rPr>
            </w:pPr>
          </w:p>
        </w:tc>
        <w:tc>
          <w:tcPr>
            <w:tcW w:w="8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117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1249"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58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r>
      <w:tr>
        <w:tblPrEx>
          <w:tblCellMar>
            <w:top w:w="0" w:type="dxa"/>
            <w:left w:w="108" w:type="dxa"/>
            <w:bottom w:w="0" w:type="dxa"/>
            <w:right w:w="108" w:type="dxa"/>
          </w:tblCellMar>
        </w:tblPrEx>
        <w:trPr>
          <w:trHeight w:val="854" w:hRule="atLeast"/>
        </w:trPr>
        <w:tc>
          <w:tcPr>
            <w:tcW w:w="66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color w:val="auto"/>
                <w:sz w:val="21"/>
                <w:szCs w:val="21"/>
              </w:rPr>
            </w:pPr>
          </w:p>
        </w:tc>
        <w:tc>
          <w:tcPr>
            <w:tcW w:w="8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117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1249"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58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r>
      <w:tr>
        <w:tblPrEx>
          <w:tblCellMar>
            <w:top w:w="0" w:type="dxa"/>
            <w:left w:w="108" w:type="dxa"/>
            <w:bottom w:w="0" w:type="dxa"/>
            <w:right w:w="108" w:type="dxa"/>
          </w:tblCellMar>
        </w:tblPrEx>
        <w:trPr>
          <w:trHeight w:val="838" w:hRule="atLeast"/>
        </w:trPr>
        <w:tc>
          <w:tcPr>
            <w:tcW w:w="66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color w:val="auto"/>
                <w:sz w:val="21"/>
                <w:szCs w:val="21"/>
              </w:rPr>
            </w:pPr>
          </w:p>
        </w:tc>
        <w:tc>
          <w:tcPr>
            <w:tcW w:w="8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117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1249"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c>
          <w:tcPr>
            <w:tcW w:w="588"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color w:val="auto"/>
                <w:sz w:val="21"/>
                <w:szCs w:val="21"/>
              </w:rPr>
            </w:pPr>
          </w:p>
        </w:tc>
      </w:tr>
      <w:tr>
        <w:tblPrEx>
          <w:tblCellMar>
            <w:top w:w="0" w:type="dxa"/>
            <w:left w:w="108" w:type="dxa"/>
            <w:bottom w:w="0" w:type="dxa"/>
            <w:right w:w="108" w:type="dxa"/>
          </w:tblCellMar>
        </w:tblPrEx>
        <w:trPr>
          <w:trHeight w:val="2993" w:hRule="atLeast"/>
        </w:trPr>
        <w:tc>
          <w:tcPr>
            <w:tcW w:w="66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color w:val="auto"/>
                <w:sz w:val="21"/>
                <w:szCs w:val="21"/>
              </w:rPr>
            </w:pPr>
            <w:r>
              <w:rPr>
                <w:rFonts w:hint="eastAsia" w:ascii="宋体"/>
                <w:color w:val="auto"/>
                <w:sz w:val="21"/>
                <w:szCs w:val="21"/>
              </w:rPr>
              <w:t>最终验收评审结论</w:t>
            </w:r>
          </w:p>
        </w:tc>
        <w:tc>
          <w:tcPr>
            <w:tcW w:w="4338" w:type="pct"/>
            <w:gridSpan w:val="9"/>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color w:val="auto"/>
                <w:sz w:val="21"/>
                <w:szCs w:val="21"/>
              </w:rPr>
            </w:pPr>
            <w:r>
              <w:rPr>
                <w:rFonts w:hint="eastAsia" w:ascii="宋体"/>
                <w:color w:val="auto"/>
                <w:sz w:val="21"/>
                <w:szCs w:val="21"/>
              </w:rPr>
              <w:t>（可另附验收情况报告）</w:t>
            </w:r>
          </w:p>
        </w:tc>
      </w:tr>
      <w:tr>
        <w:tblPrEx>
          <w:tblCellMar>
            <w:top w:w="0" w:type="dxa"/>
            <w:left w:w="108" w:type="dxa"/>
            <w:bottom w:w="0" w:type="dxa"/>
            <w:right w:w="108" w:type="dxa"/>
          </w:tblCellMar>
        </w:tblPrEx>
        <w:trPr>
          <w:trHeight w:val="2817" w:hRule="atLeast"/>
        </w:trPr>
        <w:tc>
          <w:tcPr>
            <w:tcW w:w="2458" w:type="pct"/>
            <w:gridSpan w:val="5"/>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color w:val="auto"/>
                <w:sz w:val="21"/>
                <w:szCs w:val="21"/>
              </w:rPr>
            </w:pPr>
            <w:r>
              <w:rPr>
                <w:rFonts w:hint="eastAsia" w:ascii="宋体"/>
                <w:color w:val="auto"/>
                <w:sz w:val="21"/>
                <w:szCs w:val="21"/>
              </w:rPr>
              <w:t>参验人员：</w:t>
            </w:r>
          </w:p>
          <w:p>
            <w:pPr>
              <w:spacing w:line="360" w:lineRule="auto"/>
              <w:ind w:firstLine="0" w:firstLineChars="0"/>
              <w:rPr>
                <w:rFonts w:ascii="宋体"/>
                <w:color w:val="auto"/>
                <w:sz w:val="21"/>
                <w:szCs w:val="21"/>
              </w:rPr>
            </w:pPr>
          </w:p>
          <w:p>
            <w:pPr>
              <w:spacing w:line="360" w:lineRule="auto"/>
              <w:ind w:firstLine="0" w:firstLineChars="0"/>
              <w:rPr>
                <w:rFonts w:ascii="宋体"/>
                <w:color w:val="auto"/>
                <w:sz w:val="21"/>
                <w:szCs w:val="21"/>
              </w:rPr>
            </w:pPr>
          </w:p>
          <w:p>
            <w:pPr>
              <w:spacing w:line="360" w:lineRule="auto"/>
              <w:ind w:firstLine="0" w:firstLineChars="0"/>
              <w:rPr>
                <w:rFonts w:ascii="宋体"/>
                <w:color w:val="auto"/>
                <w:sz w:val="21"/>
                <w:szCs w:val="21"/>
              </w:rPr>
            </w:pPr>
          </w:p>
          <w:p>
            <w:pPr>
              <w:spacing w:line="360" w:lineRule="auto"/>
              <w:ind w:firstLine="0" w:firstLineChars="0"/>
              <w:rPr>
                <w:rFonts w:ascii="宋体"/>
                <w:color w:val="auto"/>
                <w:sz w:val="21"/>
                <w:szCs w:val="21"/>
              </w:rPr>
            </w:pPr>
            <w:r>
              <w:rPr>
                <w:rFonts w:hint="eastAsia" w:ascii="宋体"/>
                <w:color w:val="auto"/>
                <w:sz w:val="21"/>
                <w:szCs w:val="21"/>
              </w:rPr>
              <w:t>年  月  日</w:t>
            </w:r>
          </w:p>
        </w:tc>
        <w:tc>
          <w:tcPr>
            <w:tcW w:w="2541" w:type="pct"/>
            <w:gridSpan w:val="6"/>
            <w:tcBorders>
              <w:top w:val="single" w:color="auto" w:sz="4" w:space="0"/>
              <w:left w:val="single" w:color="auto" w:sz="4" w:space="0"/>
              <w:bottom w:val="single" w:color="auto" w:sz="4" w:space="0"/>
              <w:right w:val="single" w:color="auto" w:sz="4" w:space="0"/>
            </w:tcBorders>
          </w:tcPr>
          <w:p>
            <w:pPr>
              <w:widowControl/>
              <w:spacing w:line="360" w:lineRule="auto"/>
              <w:ind w:firstLine="0" w:firstLineChars="0"/>
              <w:jc w:val="left"/>
              <w:rPr>
                <w:rFonts w:ascii="宋体"/>
                <w:color w:val="auto"/>
                <w:sz w:val="21"/>
                <w:szCs w:val="21"/>
              </w:rPr>
            </w:pPr>
            <w:r>
              <w:rPr>
                <w:rFonts w:hint="eastAsia" w:ascii="宋体"/>
                <w:color w:val="auto"/>
                <w:sz w:val="21"/>
                <w:szCs w:val="21"/>
              </w:rPr>
              <w:t>部门负责人：</w:t>
            </w:r>
          </w:p>
          <w:p>
            <w:pPr>
              <w:widowControl/>
              <w:spacing w:line="360" w:lineRule="auto"/>
              <w:ind w:firstLine="0" w:firstLineChars="0"/>
              <w:jc w:val="left"/>
              <w:rPr>
                <w:rFonts w:ascii="宋体"/>
                <w:color w:val="auto"/>
                <w:sz w:val="21"/>
                <w:szCs w:val="21"/>
              </w:rPr>
            </w:pPr>
          </w:p>
          <w:p>
            <w:pPr>
              <w:widowControl/>
              <w:spacing w:line="360" w:lineRule="auto"/>
              <w:ind w:firstLine="0" w:firstLineChars="0"/>
              <w:jc w:val="left"/>
              <w:rPr>
                <w:rFonts w:ascii="宋体"/>
                <w:color w:val="auto"/>
                <w:sz w:val="21"/>
                <w:szCs w:val="21"/>
              </w:rPr>
            </w:pPr>
          </w:p>
          <w:p>
            <w:pPr>
              <w:widowControl/>
              <w:spacing w:line="360" w:lineRule="auto"/>
              <w:ind w:firstLine="0" w:firstLineChars="0"/>
              <w:jc w:val="left"/>
              <w:rPr>
                <w:rFonts w:ascii="宋体"/>
                <w:color w:val="auto"/>
                <w:sz w:val="21"/>
                <w:szCs w:val="21"/>
              </w:rPr>
            </w:pPr>
          </w:p>
          <w:p>
            <w:pPr>
              <w:spacing w:line="360" w:lineRule="auto"/>
              <w:ind w:firstLine="0" w:firstLineChars="0"/>
              <w:rPr>
                <w:rFonts w:ascii="宋体"/>
                <w:color w:val="auto"/>
                <w:sz w:val="21"/>
                <w:szCs w:val="21"/>
              </w:rPr>
            </w:pPr>
            <w:r>
              <w:rPr>
                <w:rFonts w:hint="eastAsia" w:ascii="宋体"/>
                <w:color w:val="auto"/>
                <w:sz w:val="21"/>
                <w:szCs w:val="21"/>
              </w:rPr>
              <w:t xml:space="preserve">                      年  月  日</w:t>
            </w:r>
          </w:p>
        </w:tc>
      </w:tr>
    </w:tbl>
    <w:p>
      <w:pPr>
        <w:spacing w:line="360" w:lineRule="auto"/>
        <w:ind w:firstLine="482"/>
        <w:rPr>
          <w:rFonts w:ascii="宋体"/>
          <w:b/>
          <w:bCs/>
          <w:color w:val="auto"/>
        </w:rPr>
        <w:sectPr>
          <w:pgSz w:w="11906" w:h="16838"/>
          <w:pgMar w:top="1440" w:right="1800" w:bottom="1440" w:left="1800" w:header="680" w:footer="680" w:gutter="0"/>
          <w:pgNumType w:fmt="decimal" w:chapStyle="1"/>
          <w:cols w:space="720" w:num="1"/>
          <w:docGrid w:type="lines" w:linePitch="312" w:charSpace="0"/>
        </w:sectPr>
      </w:pPr>
    </w:p>
    <w:p>
      <w:pPr>
        <w:spacing w:line="360" w:lineRule="auto"/>
        <w:ind w:firstLine="482"/>
        <w:rPr>
          <w:rFonts w:ascii="宋体"/>
          <w:b/>
          <w:color w:val="auto"/>
        </w:rPr>
      </w:pPr>
      <w:r>
        <w:rPr>
          <w:rFonts w:hint="eastAsia" w:ascii="宋体"/>
          <w:b/>
          <w:color w:val="auto"/>
        </w:rPr>
        <w:t>附件</w:t>
      </w:r>
      <w:r>
        <w:rPr>
          <w:rFonts w:ascii="宋体"/>
          <w:b/>
          <w:color w:val="auto"/>
        </w:rPr>
        <w:t>3</w:t>
      </w:r>
      <w:r>
        <w:rPr>
          <w:rFonts w:hint="eastAsia" w:ascii="宋体"/>
          <w:b/>
          <w:color w:val="auto"/>
        </w:rPr>
        <w:t>：</w:t>
      </w:r>
    </w:p>
    <w:p>
      <w:pPr>
        <w:spacing w:line="360" w:lineRule="auto"/>
        <w:ind w:firstLine="482"/>
        <w:jc w:val="center"/>
        <w:rPr>
          <w:rFonts w:ascii="宋体"/>
          <w:b/>
          <w:color w:val="auto"/>
        </w:rPr>
      </w:pPr>
      <w:r>
        <w:rPr>
          <w:rFonts w:hint="eastAsia" w:ascii="宋体"/>
          <w:b/>
          <w:color w:val="auto"/>
        </w:rPr>
        <w:t>维护服务内容</w:t>
      </w: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spacing w:line="360" w:lineRule="auto"/>
        <w:ind w:firstLine="480"/>
        <w:rPr>
          <w:rFonts w:ascii="宋体"/>
          <w:snapToGrid w:val="0"/>
          <w:color w:val="auto"/>
          <w:kern w:val="0"/>
          <w:szCs w:val="24"/>
        </w:rPr>
      </w:pPr>
    </w:p>
    <w:p>
      <w:pPr>
        <w:pStyle w:val="3"/>
        <w:jc w:val="both"/>
        <w:rPr>
          <w:color w:val="auto"/>
        </w:rPr>
        <w:sectPr>
          <w:pgSz w:w="11906" w:h="16838"/>
          <w:pgMar w:top="1440" w:right="1800" w:bottom="1440" w:left="1800" w:header="680" w:footer="680" w:gutter="0"/>
          <w:pgNumType w:fmt="decimal" w:chapStyle="1"/>
          <w:cols w:space="720" w:num="1"/>
          <w:docGrid w:type="lines" w:linePitch="312" w:charSpace="0"/>
        </w:sectPr>
      </w:pPr>
    </w:p>
    <w:p>
      <w:pPr>
        <w:pStyle w:val="3"/>
        <w:rPr>
          <w:color w:val="auto"/>
        </w:rPr>
      </w:pPr>
      <w:bookmarkStart w:id="91" w:name="_Toc12860"/>
      <w:r>
        <w:rPr>
          <w:rFonts w:hint="eastAsia"/>
          <w:color w:val="auto"/>
        </w:rPr>
        <w:t>第六章 参选文件</w:t>
      </w:r>
      <w:bookmarkEnd w:id="89"/>
      <w:bookmarkEnd w:id="90"/>
      <w:bookmarkStart w:id="92" w:name="_Toc303066035"/>
      <w:r>
        <w:rPr>
          <w:rFonts w:hint="eastAsia"/>
          <w:color w:val="auto"/>
        </w:rPr>
        <w:t>格式</w:t>
      </w:r>
      <w:bookmarkEnd w:id="91"/>
    </w:p>
    <w:bookmarkEnd w:id="92"/>
    <w:p>
      <w:pPr>
        <w:tabs>
          <w:tab w:val="left" w:pos="6516"/>
        </w:tabs>
        <w:adjustRightInd w:val="0"/>
        <w:snapToGrid w:val="0"/>
        <w:spacing w:line="360" w:lineRule="auto"/>
        <w:ind w:firstLine="0" w:firstLineChars="0"/>
        <w:jc w:val="center"/>
        <w:rPr>
          <w:rFonts w:ascii="宋体" w:hAnsi="宋体"/>
          <w:b/>
          <w:color w:val="auto"/>
          <w:kern w:val="0"/>
          <w:u w:val="single"/>
        </w:rPr>
      </w:pPr>
    </w:p>
    <w:p>
      <w:pPr>
        <w:spacing w:line="360" w:lineRule="auto"/>
        <w:ind w:firstLine="0" w:firstLineChars="0"/>
        <w:jc w:val="center"/>
        <w:rPr>
          <w:rFonts w:ascii="Times New Roman" w:hAnsi="Times New Roman" w:cs="Times New Roman"/>
          <w:b/>
          <w:snapToGrid w:val="0"/>
          <w:color w:val="auto"/>
          <w:kern w:val="0"/>
          <w:sz w:val="48"/>
          <w:szCs w:val="84"/>
        </w:rPr>
      </w:pPr>
      <w:r>
        <w:rPr>
          <w:rFonts w:hint="eastAsia" w:ascii="Times New Roman" w:hAnsi="Times New Roman" w:cs="Times New Roman"/>
          <w:b/>
          <w:snapToGrid w:val="0"/>
          <w:color w:val="auto"/>
          <w:kern w:val="0"/>
          <w:sz w:val="48"/>
          <w:szCs w:val="84"/>
        </w:rPr>
        <w:t>重庆三峡银行</w:t>
      </w:r>
    </w:p>
    <w:p>
      <w:pPr>
        <w:tabs>
          <w:tab w:val="left" w:pos="3600"/>
          <w:tab w:val="left" w:pos="4480"/>
          <w:tab w:val="left" w:pos="5360"/>
        </w:tabs>
        <w:adjustRightInd w:val="0"/>
        <w:snapToGrid w:val="0"/>
        <w:spacing w:line="360" w:lineRule="auto"/>
        <w:ind w:firstLine="0" w:firstLineChars="0"/>
        <w:jc w:val="center"/>
        <w:rPr>
          <w:rFonts w:ascii="宋体" w:hAnsi="宋体"/>
          <w:color w:val="auto"/>
          <w:kern w:val="0"/>
          <w:sz w:val="44"/>
          <w:u w:val="single"/>
        </w:rPr>
      </w:pPr>
      <w:r>
        <w:rPr>
          <w:rFonts w:hint="eastAsia" w:ascii="Times New Roman" w:hAnsi="Times New Roman" w:cs="Times New Roman"/>
          <w:b/>
          <w:snapToGrid w:val="0"/>
          <w:color w:val="auto"/>
          <w:kern w:val="0"/>
          <w:sz w:val="48"/>
          <w:szCs w:val="84"/>
          <w:u w:val="single"/>
        </w:rPr>
        <w:t xml:space="preserve">             项目</w:t>
      </w:r>
    </w:p>
    <w:p>
      <w:pPr>
        <w:tabs>
          <w:tab w:val="left" w:pos="3600"/>
          <w:tab w:val="left" w:pos="4480"/>
          <w:tab w:val="left" w:pos="5360"/>
        </w:tabs>
        <w:adjustRightInd w:val="0"/>
        <w:snapToGrid w:val="0"/>
        <w:spacing w:line="360" w:lineRule="auto"/>
        <w:ind w:firstLine="0" w:firstLineChars="0"/>
        <w:jc w:val="center"/>
        <w:rPr>
          <w:rFonts w:ascii="宋体" w:hAnsi="宋体"/>
          <w:color w:val="auto"/>
          <w:kern w:val="0"/>
          <w:sz w:val="44"/>
        </w:rPr>
      </w:pPr>
    </w:p>
    <w:p>
      <w:pPr>
        <w:tabs>
          <w:tab w:val="left" w:pos="3600"/>
          <w:tab w:val="left" w:pos="4480"/>
          <w:tab w:val="left" w:pos="5360"/>
        </w:tabs>
        <w:adjustRightInd w:val="0"/>
        <w:snapToGrid w:val="0"/>
        <w:spacing w:line="360" w:lineRule="auto"/>
        <w:ind w:firstLine="0" w:firstLineChars="0"/>
        <w:jc w:val="center"/>
        <w:rPr>
          <w:rFonts w:ascii="宋体" w:hAnsi="宋体"/>
          <w:color w:val="auto"/>
          <w:kern w:val="0"/>
          <w:sz w:val="44"/>
        </w:rPr>
      </w:pPr>
    </w:p>
    <w:p>
      <w:pPr>
        <w:tabs>
          <w:tab w:val="left" w:pos="3600"/>
          <w:tab w:val="left" w:pos="4480"/>
          <w:tab w:val="left" w:pos="5360"/>
        </w:tabs>
        <w:adjustRightInd w:val="0"/>
        <w:snapToGrid w:val="0"/>
        <w:spacing w:line="360" w:lineRule="auto"/>
        <w:ind w:firstLine="0" w:firstLineChars="0"/>
        <w:jc w:val="center"/>
        <w:rPr>
          <w:rFonts w:ascii="宋体" w:hAnsi="宋体"/>
          <w:b/>
          <w:color w:val="auto"/>
          <w:kern w:val="0"/>
          <w:sz w:val="84"/>
        </w:rPr>
      </w:pPr>
      <w:r>
        <w:rPr>
          <w:rFonts w:hint="eastAsia" w:ascii="宋体" w:hAnsi="宋体"/>
          <w:b/>
          <w:color w:val="auto"/>
          <w:kern w:val="0"/>
          <w:sz w:val="84"/>
        </w:rPr>
        <w:t>参  选  文  件</w:t>
      </w:r>
    </w:p>
    <w:p>
      <w:pPr>
        <w:adjustRightInd w:val="0"/>
        <w:snapToGrid w:val="0"/>
        <w:spacing w:line="360" w:lineRule="auto"/>
        <w:ind w:firstLine="0" w:firstLineChars="0"/>
        <w:jc w:val="center"/>
        <w:rPr>
          <w:rFonts w:ascii="宋体" w:hAnsi="宋体"/>
          <w:color w:val="auto"/>
          <w:kern w:val="0"/>
          <w:sz w:val="16"/>
        </w:rPr>
      </w:pPr>
    </w:p>
    <w:p>
      <w:pPr>
        <w:adjustRightInd w:val="0"/>
        <w:snapToGrid w:val="0"/>
        <w:spacing w:line="360" w:lineRule="auto"/>
        <w:ind w:firstLine="0" w:firstLineChars="0"/>
        <w:jc w:val="center"/>
        <w:rPr>
          <w:rFonts w:ascii="宋体" w:hAnsi="宋体"/>
          <w:b/>
          <w:color w:val="auto"/>
          <w:kern w:val="0"/>
          <w:sz w:val="20"/>
        </w:rPr>
      </w:pPr>
    </w:p>
    <w:p>
      <w:pPr>
        <w:adjustRightInd w:val="0"/>
        <w:snapToGrid w:val="0"/>
        <w:spacing w:line="360" w:lineRule="auto"/>
        <w:ind w:firstLine="0" w:firstLineChars="0"/>
        <w:jc w:val="center"/>
        <w:rPr>
          <w:rFonts w:ascii="宋体" w:hAnsi="宋体"/>
          <w:b/>
          <w:color w:val="auto"/>
          <w:kern w:val="0"/>
          <w:sz w:val="20"/>
        </w:rPr>
      </w:pPr>
    </w:p>
    <w:p>
      <w:pPr>
        <w:adjustRightInd w:val="0"/>
        <w:snapToGrid w:val="0"/>
        <w:spacing w:line="360" w:lineRule="auto"/>
        <w:ind w:firstLine="0" w:firstLineChars="0"/>
        <w:jc w:val="center"/>
        <w:rPr>
          <w:rFonts w:ascii="宋体" w:hAnsi="宋体"/>
          <w:b/>
          <w:color w:val="auto"/>
          <w:kern w:val="0"/>
          <w:sz w:val="20"/>
        </w:rPr>
      </w:pPr>
    </w:p>
    <w:p>
      <w:pPr>
        <w:adjustRightInd w:val="0"/>
        <w:snapToGrid w:val="0"/>
        <w:spacing w:line="360" w:lineRule="auto"/>
        <w:ind w:firstLine="0" w:firstLineChars="0"/>
        <w:jc w:val="center"/>
        <w:rPr>
          <w:rFonts w:ascii="宋体" w:hAnsi="宋体"/>
          <w:b/>
          <w:color w:val="auto"/>
          <w:kern w:val="0"/>
          <w:sz w:val="20"/>
        </w:rPr>
      </w:pPr>
    </w:p>
    <w:p>
      <w:pPr>
        <w:adjustRightInd w:val="0"/>
        <w:snapToGrid w:val="0"/>
        <w:spacing w:line="360" w:lineRule="auto"/>
        <w:ind w:firstLine="0" w:firstLineChars="0"/>
        <w:jc w:val="center"/>
        <w:rPr>
          <w:rFonts w:ascii="宋体" w:hAnsi="宋体"/>
          <w:b/>
          <w:color w:val="auto"/>
          <w:kern w:val="0"/>
          <w:sz w:val="20"/>
        </w:rPr>
      </w:pPr>
    </w:p>
    <w:p>
      <w:pPr>
        <w:adjustRightInd w:val="0"/>
        <w:snapToGrid w:val="0"/>
        <w:spacing w:line="360" w:lineRule="auto"/>
        <w:ind w:firstLine="0" w:firstLineChars="0"/>
        <w:jc w:val="center"/>
        <w:rPr>
          <w:rFonts w:ascii="宋体" w:hAnsi="宋体"/>
          <w:b/>
          <w:color w:val="auto"/>
          <w:kern w:val="0"/>
          <w:sz w:val="20"/>
        </w:rPr>
      </w:pPr>
    </w:p>
    <w:p>
      <w:pPr>
        <w:adjustRightInd w:val="0"/>
        <w:snapToGrid w:val="0"/>
        <w:spacing w:line="360" w:lineRule="auto"/>
        <w:ind w:firstLine="0" w:firstLineChars="0"/>
        <w:jc w:val="center"/>
        <w:rPr>
          <w:rFonts w:ascii="宋体" w:hAnsi="宋体"/>
          <w:b/>
          <w:color w:val="auto"/>
          <w:kern w:val="0"/>
          <w:sz w:val="20"/>
        </w:rPr>
      </w:pPr>
    </w:p>
    <w:p>
      <w:pPr>
        <w:adjustRightInd w:val="0"/>
        <w:snapToGrid w:val="0"/>
        <w:spacing w:line="360" w:lineRule="auto"/>
        <w:ind w:firstLine="0" w:firstLineChars="0"/>
        <w:jc w:val="center"/>
        <w:rPr>
          <w:rFonts w:ascii="宋体" w:hAnsi="宋体"/>
          <w:b/>
          <w:color w:val="auto"/>
          <w:kern w:val="0"/>
          <w:sz w:val="20"/>
        </w:rPr>
      </w:pPr>
    </w:p>
    <w:p>
      <w:pPr>
        <w:adjustRightInd w:val="0"/>
        <w:snapToGrid w:val="0"/>
        <w:spacing w:line="360" w:lineRule="auto"/>
        <w:ind w:firstLine="0" w:firstLineChars="0"/>
        <w:jc w:val="center"/>
        <w:rPr>
          <w:rFonts w:ascii="宋体" w:hAnsi="宋体"/>
          <w:b/>
          <w:color w:val="auto"/>
          <w:kern w:val="0"/>
          <w:sz w:val="20"/>
        </w:rPr>
      </w:pPr>
    </w:p>
    <w:p>
      <w:pPr>
        <w:spacing w:line="360" w:lineRule="auto"/>
        <w:ind w:firstLine="0" w:firstLineChars="0"/>
        <w:jc w:val="center"/>
        <w:rPr>
          <w:color w:val="auto"/>
        </w:rPr>
      </w:pPr>
      <w:r>
        <w:rPr>
          <w:rFonts w:hint="eastAsia"/>
          <w:color w:val="auto"/>
        </w:rPr>
        <w:t>参选人：</w:t>
      </w:r>
      <w:r>
        <w:rPr>
          <w:rFonts w:hint="eastAsia"/>
          <w:color w:val="auto"/>
          <w:u w:val="single"/>
        </w:rPr>
        <w:t xml:space="preserve">                </w:t>
      </w:r>
      <w:r>
        <w:rPr>
          <w:rFonts w:hint="eastAsia"/>
          <w:color w:val="auto"/>
        </w:rPr>
        <w:t>（盖单位公章）</w:t>
      </w:r>
    </w:p>
    <w:p>
      <w:pPr>
        <w:spacing w:line="360" w:lineRule="auto"/>
        <w:ind w:firstLine="0" w:firstLineChars="0"/>
        <w:jc w:val="center"/>
        <w:rPr>
          <w:color w:val="auto"/>
        </w:rPr>
      </w:pPr>
      <w:r>
        <w:rPr>
          <w:rFonts w:hint="eastAsia" w:ascii="宋体"/>
          <w:snapToGrid w:val="0"/>
          <w:color w:val="auto"/>
          <w:kern w:val="0"/>
        </w:rPr>
        <w:t>法定代表人</w:t>
      </w:r>
      <w:r>
        <w:rPr>
          <w:rFonts w:hint="eastAsia"/>
          <w:color w:val="auto"/>
        </w:rPr>
        <w:t>或分支机构负责人或其委托代理人：</w:t>
      </w:r>
      <w:r>
        <w:rPr>
          <w:rFonts w:hint="eastAsia"/>
          <w:color w:val="auto"/>
          <w:u w:val="single"/>
        </w:rPr>
        <w:t xml:space="preserve">              </w:t>
      </w:r>
      <w:r>
        <w:rPr>
          <w:rFonts w:hint="eastAsia"/>
          <w:color w:val="auto"/>
        </w:rPr>
        <w:t>（签字）</w:t>
      </w:r>
    </w:p>
    <w:p>
      <w:pPr>
        <w:spacing w:line="360" w:lineRule="auto"/>
        <w:ind w:firstLine="0" w:firstLineChars="0"/>
        <w:jc w:val="center"/>
        <w:rPr>
          <w:color w:val="auto"/>
        </w:rPr>
      </w:pPr>
      <w:r>
        <w:rPr>
          <w:rFonts w:hint="eastAsia"/>
          <w:color w:val="auto"/>
        </w:rPr>
        <w:t>年     月     日</w:t>
      </w:r>
    </w:p>
    <w:p>
      <w:pPr>
        <w:tabs>
          <w:tab w:val="left" w:pos="3280"/>
          <w:tab w:val="left" w:pos="4680"/>
          <w:tab w:val="left" w:pos="6080"/>
        </w:tabs>
        <w:adjustRightInd w:val="0"/>
        <w:snapToGrid w:val="0"/>
        <w:spacing w:line="360" w:lineRule="auto"/>
        <w:ind w:firstLine="0" w:firstLineChars="0"/>
        <w:jc w:val="center"/>
        <w:rPr>
          <w:rFonts w:ascii="宋体" w:hAnsi="宋体"/>
          <w:b/>
          <w:color w:val="auto"/>
          <w:kern w:val="0"/>
        </w:rPr>
      </w:pPr>
    </w:p>
    <w:p>
      <w:pPr>
        <w:tabs>
          <w:tab w:val="left" w:pos="6300"/>
        </w:tabs>
        <w:snapToGrid w:val="0"/>
        <w:spacing w:line="360" w:lineRule="auto"/>
        <w:ind w:firstLine="0" w:firstLineChars="0"/>
        <w:jc w:val="center"/>
        <w:rPr>
          <w:rFonts w:ascii="宋体" w:hAnsi="宋体"/>
          <w:snapToGrid w:val="0"/>
          <w:color w:val="auto"/>
          <w:kern w:val="0"/>
          <w:szCs w:val="28"/>
        </w:rPr>
      </w:pPr>
    </w:p>
    <w:p>
      <w:pPr>
        <w:tabs>
          <w:tab w:val="left" w:pos="6300"/>
        </w:tabs>
        <w:snapToGrid w:val="0"/>
        <w:spacing w:line="360" w:lineRule="auto"/>
        <w:ind w:firstLine="0" w:firstLineChars="0"/>
        <w:jc w:val="center"/>
        <w:rPr>
          <w:rFonts w:ascii="宋体" w:hAnsi="宋体"/>
          <w:snapToGrid w:val="0"/>
          <w:color w:val="auto"/>
          <w:kern w:val="0"/>
          <w:szCs w:val="28"/>
        </w:rPr>
      </w:pPr>
    </w:p>
    <w:p>
      <w:pPr>
        <w:tabs>
          <w:tab w:val="left" w:pos="6300"/>
        </w:tabs>
        <w:snapToGrid w:val="0"/>
        <w:spacing w:line="360" w:lineRule="auto"/>
        <w:ind w:firstLine="0" w:firstLineChars="0"/>
        <w:jc w:val="center"/>
        <w:rPr>
          <w:rFonts w:ascii="宋体" w:hAnsi="宋体"/>
          <w:snapToGrid w:val="0"/>
          <w:color w:val="auto"/>
          <w:kern w:val="0"/>
          <w:szCs w:val="28"/>
        </w:rPr>
        <w:sectPr>
          <w:footerReference r:id="rId6" w:type="default"/>
          <w:pgSz w:w="11906" w:h="16838"/>
          <w:pgMar w:top="1440" w:right="1800" w:bottom="1440" w:left="1800" w:header="851" w:footer="992" w:gutter="0"/>
          <w:pgNumType w:fmt="decimal"/>
          <w:cols w:space="720" w:num="1"/>
          <w:docGrid w:type="lines" w:linePitch="312" w:charSpace="0"/>
        </w:sectPr>
      </w:pPr>
    </w:p>
    <w:p>
      <w:pPr>
        <w:tabs>
          <w:tab w:val="left" w:pos="6300"/>
        </w:tabs>
        <w:snapToGrid w:val="0"/>
        <w:spacing w:line="360" w:lineRule="auto"/>
        <w:ind w:firstLine="0" w:firstLineChars="0"/>
        <w:jc w:val="center"/>
        <w:outlineLvl w:val="1"/>
        <w:rPr>
          <w:rFonts w:ascii="宋体"/>
          <w:b/>
          <w:snapToGrid w:val="0"/>
          <w:color w:val="auto"/>
          <w:kern w:val="0"/>
          <w:sz w:val="36"/>
          <w:szCs w:val="28"/>
        </w:rPr>
      </w:pPr>
      <w:r>
        <w:rPr>
          <w:rFonts w:hint="eastAsia" w:ascii="宋体"/>
          <w:b/>
          <w:snapToGrid w:val="0"/>
          <w:color w:val="auto"/>
          <w:kern w:val="0"/>
          <w:sz w:val="36"/>
          <w:szCs w:val="28"/>
        </w:rPr>
        <w:t>目  录</w:t>
      </w:r>
    </w:p>
    <w:p>
      <w:pPr>
        <w:spacing w:line="240" w:lineRule="auto"/>
        <w:ind w:firstLine="480"/>
        <w:rPr>
          <w:color w:val="auto"/>
        </w:rPr>
      </w:pPr>
      <w:r>
        <w:rPr>
          <w:rFonts w:hint="eastAsia"/>
          <w:color w:val="auto"/>
        </w:rPr>
        <w:t>一、参选函</w:t>
      </w:r>
    </w:p>
    <w:p>
      <w:pPr>
        <w:spacing w:line="240" w:lineRule="auto"/>
        <w:ind w:firstLine="480"/>
        <w:rPr>
          <w:color w:val="auto"/>
        </w:rPr>
      </w:pPr>
      <w:r>
        <w:rPr>
          <w:rFonts w:hint="eastAsia"/>
          <w:color w:val="auto"/>
        </w:rPr>
        <w:t>二、分项报价明细表</w:t>
      </w:r>
    </w:p>
    <w:p>
      <w:pPr>
        <w:spacing w:line="240" w:lineRule="auto"/>
        <w:ind w:firstLine="480"/>
        <w:rPr>
          <w:color w:val="auto"/>
        </w:rPr>
      </w:pPr>
      <w:r>
        <w:rPr>
          <w:rFonts w:hint="eastAsia"/>
          <w:color w:val="auto"/>
        </w:rPr>
        <w:t>三、资格性文件</w:t>
      </w:r>
    </w:p>
    <w:p>
      <w:pPr>
        <w:spacing w:line="240" w:lineRule="auto"/>
        <w:ind w:firstLine="480"/>
        <w:rPr>
          <w:color w:val="auto"/>
        </w:rPr>
      </w:pPr>
      <w:r>
        <w:rPr>
          <w:color w:val="auto"/>
        </w:rPr>
        <w:t>（一）参选人基本情况介绍，资质证明等</w:t>
      </w:r>
    </w:p>
    <w:p>
      <w:pPr>
        <w:spacing w:line="240" w:lineRule="auto"/>
        <w:ind w:firstLine="480"/>
        <w:rPr>
          <w:color w:val="auto"/>
        </w:rPr>
      </w:pPr>
      <w:r>
        <w:rPr>
          <w:color w:val="auto"/>
        </w:rPr>
        <w:t>（二）法定代表人</w:t>
      </w:r>
      <w:r>
        <w:rPr>
          <w:rFonts w:hint="eastAsia"/>
          <w:color w:val="auto"/>
        </w:rPr>
        <w:t>或分支机构负责人</w:t>
      </w:r>
      <w:r>
        <w:rPr>
          <w:color w:val="auto"/>
        </w:rPr>
        <w:t>身份证明及授权委托书</w:t>
      </w:r>
    </w:p>
    <w:p>
      <w:pPr>
        <w:spacing w:line="240" w:lineRule="auto"/>
        <w:ind w:firstLine="480"/>
        <w:rPr>
          <w:color w:val="auto"/>
        </w:rPr>
      </w:pPr>
      <w:r>
        <w:rPr>
          <w:rFonts w:hint="eastAsia"/>
          <w:color w:val="auto"/>
        </w:rPr>
        <w:t>（三）书面声明</w:t>
      </w:r>
    </w:p>
    <w:p>
      <w:pPr>
        <w:spacing w:line="240" w:lineRule="auto"/>
        <w:ind w:firstLine="480"/>
        <w:rPr>
          <w:color w:val="auto"/>
        </w:rPr>
      </w:pPr>
      <w:r>
        <w:rPr>
          <w:color w:val="auto"/>
        </w:rPr>
        <w:t>（</w:t>
      </w:r>
      <w:r>
        <w:rPr>
          <w:rFonts w:hint="eastAsia"/>
          <w:color w:val="auto"/>
        </w:rPr>
        <w:t>四</w:t>
      </w:r>
      <w:r>
        <w:rPr>
          <w:color w:val="auto"/>
        </w:rPr>
        <w:t>）中国执行信息公开网截图</w:t>
      </w:r>
    </w:p>
    <w:p>
      <w:pPr>
        <w:spacing w:line="240" w:lineRule="auto"/>
        <w:ind w:firstLine="480"/>
        <w:rPr>
          <w:color w:val="auto"/>
        </w:rPr>
      </w:pPr>
      <w:r>
        <w:rPr>
          <w:rFonts w:hint="eastAsia"/>
          <w:color w:val="auto"/>
          <w:lang w:val="zh-CN"/>
        </w:rPr>
        <w:t>（</w:t>
      </w:r>
      <w:r>
        <w:rPr>
          <w:rFonts w:hint="eastAsia"/>
          <w:color w:val="auto"/>
        </w:rPr>
        <w:t>五</w:t>
      </w:r>
      <w:r>
        <w:rPr>
          <w:rFonts w:hint="eastAsia"/>
          <w:color w:val="auto"/>
          <w:lang w:val="zh-CN"/>
        </w:rPr>
        <w:t>）</w:t>
      </w:r>
      <w:r>
        <w:rPr>
          <w:rFonts w:hint="eastAsia"/>
          <w:color w:val="auto"/>
        </w:rPr>
        <w:t>原厂参选授权函原件及原厂售后服务承诺函</w:t>
      </w:r>
    </w:p>
    <w:p>
      <w:pPr>
        <w:spacing w:line="240" w:lineRule="auto"/>
        <w:ind w:firstLine="480"/>
        <w:rPr>
          <w:color w:val="auto"/>
        </w:rPr>
      </w:pPr>
      <w:r>
        <w:rPr>
          <w:rFonts w:hint="eastAsia"/>
          <w:color w:val="auto"/>
        </w:rPr>
        <w:t>（六）售后服务说明</w:t>
      </w:r>
    </w:p>
    <w:p>
      <w:pPr>
        <w:spacing w:line="240" w:lineRule="auto"/>
        <w:ind w:firstLine="480"/>
        <w:rPr>
          <w:color w:val="auto"/>
        </w:rPr>
      </w:pPr>
      <w:r>
        <w:rPr>
          <w:rFonts w:hint="eastAsia"/>
          <w:color w:val="auto"/>
          <w:lang w:val="zh-CN"/>
        </w:rPr>
        <w:t>（</w:t>
      </w:r>
      <w:r>
        <w:rPr>
          <w:rFonts w:hint="eastAsia"/>
          <w:color w:val="auto"/>
        </w:rPr>
        <w:t>七</w:t>
      </w:r>
      <w:r>
        <w:rPr>
          <w:rFonts w:hint="eastAsia"/>
          <w:color w:val="auto"/>
          <w:lang w:val="zh-CN"/>
        </w:rPr>
        <w:t>）项目案例</w:t>
      </w:r>
      <w:r>
        <w:rPr>
          <w:rFonts w:hint="eastAsia"/>
          <w:color w:val="auto"/>
        </w:rPr>
        <w:t>和业绩证明文件</w:t>
      </w:r>
    </w:p>
    <w:p>
      <w:pPr>
        <w:spacing w:line="240" w:lineRule="auto"/>
        <w:ind w:firstLine="480"/>
        <w:rPr>
          <w:color w:val="auto"/>
        </w:rPr>
      </w:pPr>
      <w:r>
        <w:rPr>
          <w:rFonts w:hint="eastAsia"/>
          <w:color w:val="auto"/>
        </w:rPr>
        <w:t>（八）满足信创需求的相关材料</w:t>
      </w:r>
    </w:p>
    <w:p>
      <w:pPr>
        <w:spacing w:line="240" w:lineRule="auto"/>
        <w:ind w:firstLine="480"/>
        <w:rPr>
          <w:color w:val="auto"/>
          <w:lang w:val="zh-CN"/>
        </w:rPr>
      </w:pPr>
      <w:r>
        <w:rPr>
          <w:rFonts w:hint="eastAsia"/>
          <w:color w:val="auto"/>
          <w:lang w:val="zh-CN"/>
        </w:rPr>
        <w:t>（</w:t>
      </w:r>
      <w:r>
        <w:rPr>
          <w:rFonts w:hint="eastAsia"/>
          <w:color w:val="auto"/>
        </w:rPr>
        <w:t>九</w:t>
      </w:r>
      <w:r>
        <w:rPr>
          <w:rFonts w:hint="eastAsia"/>
          <w:color w:val="auto"/>
          <w:lang w:val="zh-CN"/>
        </w:rPr>
        <w:t>）</w:t>
      </w:r>
      <w:r>
        <w:rPr>
          <w:rFonts w:hint="eastAsia"/>
          <w:color w:val="auto"/>
        </w:rPr>
        <w:t>其他</w:t>
      </w:r>
    </w:p>
    <w:p>
      <w:pPr>
        <w:spacing w:line="240" w:lineRule="auto"/>
        <w:ind w:firstLine="480"/>
        <w:rPr>
          <w:color w:val="auto"/>
        </w:rPr>
      </w:pPr>
      <w:r>
        <w:rPr>
          <w:rFonts w:hint="eastAsia"/>
          <w:color w:val="auto"/>
        </w:rPr>
        <w:t>四、响应承诺函</w:t>
      </w:r>
    </w:p>
    <w:p>
      <w:pPr>
        <w:spacing w:line="240" w:lineRule="auto"/>
        <w:ind w:firstLine="480"/>
        <w:rPr>
          <w:color w:val="auto"/>
        </w:rPr>
      </w:pPr>
      <w:r>
        <w:rPr>
          <w:rFonts w:hint="eastAsia"/>
          <w:color w:val="auto"/>
        </w:rPr>
        <w:t>五、技术条款</w:t>
      </w:r>
    </w:p>
    <w:p>
      <w:pPr>
        <w:spacing w:line="240" w:lineRule="auto"/>
        <w:ind w:firstLine="480"/>
        <w:rPr>
          <w:color w:val="auto"/>
        </w:rPr>
      </w:pPr>
      <w:r>
        <w:rPr>
          <w:rFonts w:hint="eastAsia"/>
          <w:color w:val="auto"/>
        </w:rPr>
        <w:t>（一）参数要求偏离表</w:t>
      </w:r>
    </w:p>
    <w:p>
      <w:pPr>
        <w:spacing w:line="240" w:lineRule="auto"/>
        <w:ind w:firstLine="480"/>
        <w:rPr>
          <w:color w:val="auto"/>
        </w:rPr>
      </w:pPr>
      <w:r>
        <w:rPr>
          <w:rFonts w:hint="eastAsia"/>
          <w:color w:val="auto"/>
        </w:rPr>
        <w:t>（二）技术要求响应承诺函</w:t>
      </w:r>
    </w:p>
    <w:p>
      <w:pPr>
        <w:spacing w:line="240" w:lineRule="auto"/>
        <w:ind w:firstLine="480"/>
        <w:rPr>
          <w:color w:val="auto"/>
        </w:rPr>
      </w:pPr>
      <w:r>
        <w:rPr>
          <w:rFonts w:hint="eastAsia"/>
          <w:color w:val="auto"/>
        </w:rPr>
        <w:t>（三）产品功能截图</w:t>
      </w:r>
    </w:p>
    <w:p>
      <w:pPr>
        <w:spacing w:line="240" w:lineRule="auto"/>
        <w:ind w:firstLine="480"/>
        <w:rPr>
          <w:color w:val="auto"/>
        </w:rPr>
      </w:pPr>
      <w:r>
        <w:rPr>
          <w:rFonts w:hint="eastAsia"/>
          <w:color w:val="auto"/>
        </w:rPr>
        <w:t>六、参选保证金</w:t>
      </w:r>
    </w:p>
    <w:p>
      <w:pPr>
        <w:spacing w:line="240" w:lineRule="auto"/>
        <w:ind w:firstLine="480"/>
        <w:rPr>
          <w:color w:val="auto"/>
        </w:rPr>
      </w:pPr>
      <w:r>
        <w:rPr>
          <w:rFonts w:hint="eastAsia"/>
          <w:color w:val="auto"/>
        </w:rPr>
        <w:t>七、项目实施方案</w:t>
      </w:r>
    </w:p>
    <w:p>
      <w:pPr>
        <w:spacing w:line="240" w:lineRule="auto"/>
        <w:ind w:firstLine="480"/>
        <w:rPr>
          <w:color w:val="auto"/>
        </w:rPr>
      </w:pPr>
      <w:r>
        <w:rPr>
          <w:rFonts w:hint="eastAsia"/>
          <w:color w:val="auto"/>
        </w:rPr>
        <w:t>八、售后服务和培训方案</w:t>
      </w:r>
    </w:p>
    <w:p>
      <w:pPr>
        <w:spacing w:line="240" w:lineRule="auto"/>
        <w:ind w:firstLine="480"/>
        <w:rPr>
          <w:color w:val="auto"/>
        </w:rPr>
      </w:pPr>
      <w:r>
        <w:rPr>
          <w:rFonts w:hint="eastAsia"/>
          <w:color w:val="auto"/>
        </w:rPr>
        <w:t>九、服务连续性预案</w:t>
      </w:r>
    </w:p>
    <w:p>
      <w:pPr>
        <w:spacing w:line="240" w:lineRule="auto"/>
        <w:ind w:firstLine="480"/>
        <w:rPr>
          <w:color w:val="auto"/>
        </w:rPr>
      </w:pPr>
      <w:r>
        <w:rPr>
          <w:rFonts w:hint="eastAsia"/>
          <w:color w:val="auto"/>
        </w:rPr>
        <w:t>十、其他（如有）</w:t>
      </w:r>
    </w:p>
    <w:p>
      <w:pPr>
        <w:spacing w:line="360" w:lineRule="auto"/>
        <w:ind w:firstLine="0" w:firstLineChars="0"/>
        <w:jc w:val="center"/>
        <w:outlineLvl w:val="1"/>
        <w:rPr>
          <w:rStyle w:val="32"/>
          <w:rFonts w:hint="default"/>
          <w:color w:val="auto"/>
        </w:rPr>
      </w:pPr>
      <w:r>
        <w:rPr>
          <w:rFonts w:hint="eastAsia" w:ascii="宋体" w:hAnsi="宋体" w:cs="宋体"/>
          <w:color w:val="auto"/>
        </w:rPr>
        <w:br w:type="page"/>
      </w:r>
      <w:r>
        <w:rPr>
          <w:rStyle w:val="32"/>
          <w:rFonts w:hint="default"/>
          <w:color w:val="auto"/>
        </w:rPr>
        <w:t>一、参选函</w:t>
      </w:r>
    </w:p>
    <w:p>
      <w:pPr>
        <w:tabs>
          <w:tab w:val="left" w:pos="6300"/>
        </w:tabs>
        <w:snapToGrid w:val="0"/>
        <w:spacing w:line="360" w:lineRule="auto"/>
        <w:ind w:right="-34" w:rightChars="-14" w:firstLine="480"/>
        <w:rPr>
          <w:rFonts w:ascii="宋体"/>
          <w:snapToGrid w:val="0"/>
          <w:color w:val="auto"/>
          <w:kern w:val="0"/>
          <w:szCs w:val="24"/>
          <w:u w:val="single"/>
        </w:rPr>
      </w:pP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u w:val="single"/>
        </w:rPr>
        <w:t>重庆三峡银行股份有限公司</w:t>
      </w:r>
      <w:r>
        <w:rPr>
          <w:rFonts w:hint="eastAsia" w:ascii="宋体"/>
          <w:snapToGrid w:val="0"/>
          <w:color w:val="auto"/>
          <w:kern w:val="0"/>
          <w:szCs w:val="24"/>
        </w:rPr>
        <w:t>：</w:t>
      </w: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rPr>
        <w:t>我方收到___________________比选文件，经详细研究，决定参加该比选项目的</w:t>
      </w:r>
      <w:r>
        <w:rPr>
          <w:rFonts w:hint="eastAsia" w:ascii="宋体" w:cs="Cambria"/>
          <w:snapToGrid w:val="0"/>
          <w:color w:val="auto"/>
          <w:kern w:val="0"/>
          <w:szCs w:val="24"/>
        </w:rPr>
        <w:t>参选</w:t>
      </w:r>
      <w:r>
        <w:rPr>
          <w:rFonts w:hint="eastAsia" w:ascii="宋体"/>
          <w:snapToGrid w:val="0"/>
          <w:color w:val="auto"/>
          <w:kern w:val="0"/>
          <w:szCs w:val="24"/>
        </w:rPr>
        <w:t>。</w:t>
      </w:r>
    </w:p>
    <w:p>
      <w:pPr>
        <w:tabs>
          <w:tab w:val="left" w:pos="6300"/>
        </w:tabs>
        <w:snapToGrid w:val="0"/>
        <w:spacing w:line="360" w:lineRule="auto"/>
        <w:ind w:right="-34" w:rightChars="-14" w:firstLine="573" w:firstLineChars="0"/>
        <w:rPr>
          <w:rFonts w:ascii="宋体"/>
          <w:snapToGrid w:val="0"/>
          <w:color w:val="auto"/>
          <w:kern w:val="0"/>
          <w:szCs w:val="24"/>
          <w:u w:val="single"/>
        </w:rPr>
      </w:pPr>
      <w:r>
        <w:rPr>
          <w:rFonts w:hint="eastAsia" w:ascii="宋体"/>
          <w:snapToGrid w:val="0"/>
          <w:color w:val="auto"/>
          <w:kern w:val="0"/>
          <w:szCs w:val="24"/>
        </w:rPr>
        <w:t>1、愿意按照比选文件中的一切要求，以人民币小写：</w:t>
      </w:r>
      <w:r>
        <w:rPr>
          <w:rFonts w:hint="eastAsia" w:ascii="宋体"/>
          <w:snapToGrid w:val="0"/>
          <w:color w:val="auto"/>
          <w:kern w:val="0"/>
          <w:szCs w:val="24"/>
          <w:u w:val="single"/>
        </w:rPr>
        <w:t xml:space="preserve">          </w:t>
      </w:r>
      <w:r>
        <w:rPr>
          <w:rFonts w:hint="eastAsia" w:ascii="宋体"/>
          <w:snapToGrid w:val="0"/>
          <w:color w:val="auto"/>
          <w:kern w:val="0"/>
          <w:szCs w:val="24"/>
        </w:rPr>
        <w:t>，人民币大写：</w:t>
      </w:r>
      <w:r>
        <w:rPr>
          <w:rFonts w:hint="eastAsia" w:ascii="宋体"/>
          <w:snapToGrid w:val="0"/>
          <w:color w:val="auto"/>
          <w:kern w:val="0"/>
          <w:szCs w:val="24"/>
          <w:u w:val="single"/>
        </w:rPr>
        <w:t xml:space="preserve">          </w:t>
      </w:r>
      <w:r>
        <w:rPr>
          <w:rFonts w:hint="eastAsia" w:ascii="宋体"/>
          <w:snapToGrid w:val="0"/>
          <w:color w:val="auto"/>
          <w:kern w:val="0"/>
          <w:szCs w:val="24"/>
        </w:rPr>
        <w:t>的</w:t>
      </w:r>
      <w:r>
        <w:rPr>
          <w:rFonts w:hint="eastAsia" w:ascii="宋体" w:cs="Cambria"/>
          <w:snapToGrid w:val="0"/>
          <w:color w:val="auto"/>
          <w:kern w:val="0"/>
          <w:szCs w:val="24"/>
        </w:rPr>
        <w:t>参选</w:t>
      </w:r>
      <w:r>
        <w:rPr>
          <w:rFonts w:hint="eastAsia" w:ascii="宋体"/>
          <w:snapToGrid w:val="0"/>
          <w:color w:val="auto"/>
          <w:kern w:val="0"/>
          <w:szCs w:val="24"/>
        </w:rPr>
        <w:t>总价（含税）承担和完成本项目。</w:t>
      </w: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rPr>
        <w:t>2、我方现提交的</w:t>
      </w:r>
      <w:r>
        <w:rPr>
          <w:rFonts w:hint="eastAsia" w:ascii="宋体" w:cs="Cambria"/>
          <w:snapToGrid w:val="0"/>
          <w:color w:val="auto"/>
          <w:kern w:val="0"/>
          <w:szCs w:val="24"/>
        </w:rPr>
        <w:t>参选</w:t>
      </w:r>
      <w:r>
        <w:rPr>
          <w:rFonts w:hint="eastAsia" w:ascii="宋体"/>
          <w:snapToGrid w:val="0"/>
          <w:color w:val="auto"/>
          <w:kern w:val="0"/>
          <w:szCs w:val="24"/>
        </w:rPr>
        <w:t>文件为：</w:t>
      </w:r>
      <w:r>
        <w:rPr>
          <w:rFonts w:hint="eastAsia" w:ascii="宋体" w:cs="Cambria"/>
          <w:snapToGrid w:val="0"/>
          <w:color w:val="auto"/>
          <w:kern w:val="0"/>
          <w:szCs w:val="24"/>
        </w:rPr>
        <w:t>参选</w:t>
      </w:r>
      <w:r>
        <w:rPr>
          <w:rFonts w:hint="eastAsia" w:ascii="宋体"/>
          <w:snapToGrid w:val="0"/>
          <w:color w:val="auto"/>
          <w:kern w:val="0"/>
          <w:szCs w:val="24"/>
        </w:rPr>
        <w:t>文件正本一份，副本一份，电子文件一份。</w:t>
      </w: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rPr>
        <w:t>3、如果我方</w:t>
      </w:r>
      <w:r>
        <w:rPr>
          <w:rFonts w:hint="eastAsia" w:ascii="宋体" w:cs="Cambria"/>
          <w:snapToGrid w:val="0"/>
          <w:color w:val="auto"/>
          <w:kern w:val="0"/>
          <w:szCs w:val="24"/>
        </w:rPr>
        <w:t>参选</w:t>
      </w:r>
      <w:r>
        <w:rPr>
          <w:rFonts w:hint="eastAsia" w:ascii="宋体"/>
          <w:snapToGrid w:val="0"/>
          <w:color w:val="auto"/>
          <w:kern w:val="0"/>
          <w:szCs w:val="24"/>
        </w:rPr>
        <w:t>文件被接受，我方将履行比选文件中规定的各项要求，按相关法律法规和合同约定条款承担我方的责任。</w:t>
      </w: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rPr>
        <w:t>4、我方愿意提供比选文件中要求的所有资料，并对其真实性负责。</w:t>
      </w: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rPr>
        <w:t>5、我方理解最低价格不是中选的唯一条件。</w:t>
      </w: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rPr>
        <w:t>6、</w:t>
      </w:r>
      <w:r>
        <w:rPr>
          <w:rFonts w:hint="eastAsia" w:ascii="宋体" w:cs="Cambria"/>
          <w:snapToGrid w:val="0"/>
          <w:color w:val="auto"/>
          <w:kern w:val="0"/>
          <w:szCs w:val="24"/>
        </w:rPr>
        <w:t>参选</w:t>
      </w:r>
      <w:r>
        <w:rPr>
          <w:rFonts w:hint="eastAsia" w:ascii="宋体"/>
          <w:snapToGrid w:val="0"/>
          <w:color w:val="auto"/>
          <w:kern w:val="0"/>
          <w:szCs w:val="24"/>
        </w:rPr>
        <w:t>有效期为</w:t>
      </w:r>
      <w:r>
        <w:rPr>
          <w:rFonts w:hint="eastAsia" w:ascii="宋体" w:cs="Cambria"/>
          <w:snapToGrid w:val="0"/>
          <w:color w:val="auto"/>
          <w:kern w:val="0"/>
          <w:szCs w:val="24"/>
        </w:rPr>
        <w:t>参选</w:t>
      </w:r>
      <w:r>
        <w:rPr>
          <w:rFonts w:hint="eastAsia" w:ascii="宋体"/>
          <w:snapToGrid w:val="0"/>
          <w:color w:val="auto"/>
          <w:kern w:val="0"/>
          <w:szCs w:val="24"/>
        </w:rPr>
        <w:t>截止日期后90天内。</w:t>
      </w:r>
    </w:p>
    <w:p>
      <w:pPr>
        <w:tabs>
          <w:tab w:val="left" w:pos="6300"/>
        </w:tabs>
        <w:snapToGrid w:val="0"/>
        <w:spacing w:line="360" w:lineRule="auto"/>
        <w:ind w:right="-34" w:rightChars="-14" w:firstLine="573" w:firstLineChars="0"/>
        <w:rPr>
          <w:rFonts w:ascii="宋体"/>
          <w:snapToGrid w:val="0"/>
          <w:color w:val="auto"/>
          <w:kern w:val="0"/>
          <w:szCs w:val="24"/>
        </w:rPr>
      </w:pPr>
      <w:r>
        <w:rPr>
          <w:rFonts w:hint="eastAsia" w:ascii="宋体"/>
          <w:snapToGrid w:val="0"/>
          <w:color w:val="auto"/>
          <w:kern w:val="0"/>
          <w:szCs w:val="24"/>
        </w:rPr>
        <w:t>7、若我方中选，我方开具税率为______%的增值税专用发票；</w:t>
      </w:r>
    </w:p>
    <w:p>
      <w:pPr>
        <w:tabs>
          <w:tab w:val="left" w:pos="6300"/>
        </w:tabs>
        <w:snapToGrid w:val="0"/>
        <w:spacing w:line="360" w:lineRule="auto"/>
        <w:ind w:right="-34" w:rightChars="-14" w:firstLine="480"/>
        <w:rPr>
          <w:rFonts w:ascii="宋体"/>
          <w:snapToGrid w:val="0"/>
          <w:color w:val="auto"/>
          <w:kern w:val="0"/>
          <w:szCs w:val="24"/>
        </w:rPr>
      </w:pPr>
    </w:p>
    <w:p>
      <w:pPr>
        <w:tabs>
          <w:tab w:val="left" w:pos="6300"/>
        </w:tabs>
        <w:snapToGrid w:val="0"/>
        <w:spacing w:line="360" w:lineRule="auto"/>
        <w:ind w:right="-34" w:rightChars="-14" w:firstLine="480"/>
        <w:rPr>
          <w:rFonts w:ascii="宋体"/>
          <w:snapToGrid w:val="0"/>
          <w:color w:val="auto"/>
          <w:kern w:val="0"/>
          <w:szCs w:val="24"/>
        </w:rPr>
      </w:pPr>
      <w:r>
        <w:rPr>
          <w:rFonts w:hint="eastAsia" w:ascii="宋体" w:cs="Cambria"/>
          <w:snapToGrid w:val="0"/>
          <w:color w:val="auto"/>
          <w:kern w:val="0"/>
          <w:szCs w:val="24"/>
        </w:rPr>
        <w:t>参选</w:t>
      </w:r>
      <w:r>
        <w:rPr>
          <w:rFonts w:hint="eastAsia" w:ascii="宋体"/>
          <w:snapToGrid w:val="0"/>
          <w:color w:val="auto"/>
          <w:kern w:val="0"/>
          <w:szCs w:val="24"/>
        </w:rPr>
        <w:t>人（公章）：</w:t>
      </w: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rPr>
        <w:t xml:space="preserve">地址：  </w:t>
      </w: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rPr>
        <w:t>电话：                           传真：</w:t>
      </w:r>
    </w:p>
    <w:p>
      <w:pPr>
        <w:tabs>
          <w:tab w:val="left" w:pos="6300"/>
        </w:tabs>
        <w:snapToGrid w:val="0"/>
        <w:spacing w:line="360" w:lineRule="auto"/>
        <w:ind w:right="-34" w:rightChars="-14" w:firstLine="480"/>
        <w:rPr>
          <w:rFonts w:ascii="宋体"/>
          <w:snapToGrid w:val="0"/>
          <w:color w:val="auto"/>
          <w:kern w:val="0"/>
          <w:szCs w:val="24"/>
        </w:rPr>
      </w:pPr>
      <w:r>
        <w:rPr>
          <w:rFonts w:hint="eastAsia" w:ascii="宋体"/>
          <w:snapToGrid w:val="0"/>
          <w:color w:val="auto"/>
          <w:kern w:val="0"/>
          <w:szCs w:val="24"/>
        </w:rPr>
        <w:t xml:space="preserve">网址：                         </w:t>
      </w:r>
    </w:p>
    <w:p>
      <w:pPr>
        <w:tabs>
          <w:tab w:val="left" w:pos="6300"/>
        </w:tabs>
        <w:snapToGrid w:val="0"/>
        <w:spacing w:line="360" w:lineRule="auto"/>
        <w:ind w:right="-34" w:rightChars="-14" w:firstLine="6540" w:firstLineChars="2725"/>
        <w:rPr>
          <w:rFonts w:ascii="宋体"/>
          <w:snapToGrid w:val="0"/>
          <w:color w:val="auto"/>
          <w:kern w:val="0"/>
          <w:szCs w:val="24"/>
        </w:rPr>
      </w:pPr>
    </w:p>
    <w:p>
      <w:pPr>
        <w:tabs>
          <w:tab w:val="left" w:pos="6300"/>
        </w:tabs>
        <w:snapToGrid w:val="0"/>
        <w:spacing w:line="360" w:lineRule="auto"/>
        <w:ind w:right="-34" w:rightChars="-14" w:firstLine="5400" w:firstLineChars="2250"/>
        <w:rPr>
          <w:rFonts w:ascii="宋体"/>
          <w:snapToGrid w:val="0"/>
          <w:color w:val="auto"/>
          <w:kern w:val="0"/>
          <w:szCs w:val="24"/>
        </w:rPr>
      </w:pPr>
      <w:r>
        <w:rPr>
          <w:rFonts w:hint="eastAsia" w:ascii="宋体"/>
          <w:snapToGrid w:val="0"/>
          <w:color w:val="auto"/>
          <w:kern w:val="0"/>
          <w:szCs w:val="24"/>
        </w:rPr>
        <w:t>年     月     日</w:t>
      </w:r>
    </w:p>
    <w:p>
      <w:pPr>
        <w:widowControl/>
        <w:spacing w:line="360" w:lineRule="auto"/>
        <w:ind w:firstLine="480"/>
        <w:jc w:val="left"/>
        <w:rPr>
          <w:rFonts w:ascii="宋体"/>
          <w:snapToGrid w:val="0"/>
          <w:color w:val="auto"/>
          <w:kern w:val="0"/>
          <w:szCs w:val="24"/>
        </w:rPr>
      </w:pPr>
    </w:p>
    <w:p>
      <w:pPr>
        <w:tabs>
          <w:tab w:val="left" w:pos="6300"/>
        </w:tabs>
        <w:snapToGrid w:val="0"/>
        <w:spacing w:line="360" w:lineRule="auto"/>
        <w:ind w:firstLine="480"/>
        <w:rPr>
          <w:rFonts w:ascii="宋体"/>
          <w:snapToGrid w:val="0"/>
          <w:color w:val="auto"/>
          <w:kern w:val="0"/>
          <w:szCs w:val="24"/>
        </w:rPr>
      </w:pPr>
    </w:p>
    <w:p>
      <w:pPr>
        <w:widowControl/>
        <w:spacing w:line="360" w:lineRule="auto"/>
        <w:ind w:firstLine="480"/>
        <w:jc w:val="left"/>
        <w:rPr>
          <w:rFonts w:ascii="宋体"/>
          <w:snapToGrid w:val="0"/>
          <w:color w:val="auto"/>
          <w:kern w:val="0"/>
          <w:szCs w:val="24"/>
        </w:rPr>
      </w:pPr>
    </w:p>
    <w:p>
      <w:pPr>
        <w:widowControl/>
        <w:spacing w:line="360" w:lineRule="auto"/>
        <w:ind w:firstLine="480"/>
        <w:jc w:val="left"/>
        <w:rPr>
          <w:rFonts w:ascii="宋体"/>
          <w:snapToGrid w:val="0"/>
          <w:color w:val="auto"/>
          <w:kern w:val="0"/>
          <w:szCs w:val="24"/>
        </w:rPr>
      </w:pPr>
    </w:p>
    <w:p>
      <w:pPr>
        <w:widowControl/>
        <w:spacing w:line="360" w:lineRule="auto"/>
        <w:ind w:firstLine="480"/>
        <w:jc w:val="left"/>
        <w:rPr>
          <w:rFonts w:ascii="宋体"/>
          <w:snapToGrid w:val="0"/>
          <w:color w:val="auto"/>
          <w:kern w:val="0"/>
          <w:szCs w:val="24"/>
        </w:rPr>
      </w:pPr>
    </w:p>
    <w:p>
      <w:pPr>
        <w:widowControl/>
        <w:spacing w:line="360" w:lineRule="auto"/>
        <w:ind w:firstLine="480"/>
        <w:jc w:val="left"/>
        <w:rPr>
          <w:rFonts w:ascii="宋体"/>
          <w:snapToGrid w:val="0"/>
          <w:color w:val="auto"/>
          <w:kern w:val="0"/>
          <w:szCs w:val="24"/>
        </w:rPr>
      </w:pPr>
    </w:p>
    <w:p>
      <w:pPr>
        <w:snapToGrid w:val="0"/>
        <w:spacing w:line="360" w:lineRule="auto"/>
        <w:ind w:firstLine="480"/>
        <w:rPr>
          <w:rFonts w:ascii="宋体"/>
          <w:snapToGrid w:val="0"/>
          <w:color w:val="auto"/>
          <w:kern w:val="0"/>
          <w:szCs w:val="24"/>
        </w:rPr>
      </w:pPr>
      <w:r>
        <w:rPr>
          <w:rFonts w:hint="eastAsia"/>
          <w:color w:val="auto"/>
          <w:kern w:val="0"/>
        </w:rPr>
        <w:br w:type="page"/>
      </w:r>
    </w:p>
    <w:p>
      <w:pPr>
        <w:pStyle w:val="28"/>
        <w:rPr>
          <w:rFonts w:hint="default"/>
          <w:color w:val="auto"/>
        </w:rPr>
      </w:pPr>
      <w:r>
        <w:rPr>
          <w:color w:val="auto"/>
        </w:rPr>
        <w:t>二、分项报价明细表</w:t>
      </w:r>
    </w:p>
    <w:p>
      <w:pPr>
        <w:ind w:firstLine="0" w:firstLineChars="0"/>
        <w:jc w:val="center"/>
        <w:rPr>
          <w:color w:val="auto"/>
        </w:rPr>
      </w:pPr>
      <w:r>
        <w:rPr>
          <w:rFonts w:hint="eastAsia"/>
          <w:color w:val="auto"/>
        </w:rPr>
        <w:t>（自定义表格形式，格式自拟）</w:t>
      </w:r>
    </w:p>
    <w:p>
      <w:pPr>
        <w:ind w:firstLine="482"/>
        <w:rPr>
          <w:rStyle w:val="22"/>
          <w:b/>
          <w:color w:val="auto"/>
        </w:rPr>
      </w:pPr>
      <w:r>
        <w:rPr>
          <w:rStyle w:val="22"/>
          <w:rFonts w:hint="eastAsia"/>
          <w:b/>
          <w:color w:val="auto"/>
        </w:rPr>
        <w:br w:type="page"/>
      </w:r>
    </w:p>
    <w:p>
      <w:pPr>
        <w:pStyle w:val="28"/>
        <w:rPr>
          <w:rFonts w:hint="default"/>
          <w:color w:val="auto"/>
        </w:rPr>
      </w:pPr>
      <w:r>
        <w:rPr>
          <w:color w:val="auto"/>
        </w:rPr>
        <w:t>三、资格性文件</w:t>
      </w:r>
    </w:p>
    <w:p>
      <w:pPr>
        <w:pStyle w:val="29"/>
        <w:rPr>
          <w:color w:val="auto"/>
        </w:rPr>
      </w:pPr>
      <w:r>
        <w:rPr>
          <w:color w:val="auto"/>
        </w:rPr>
        <w:t>（一）参选人基本情况介绍，资质证明等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参选人名称</w:t>
            </w:r>
          </w:p>
        </w:tc>
        <w:tc>
          <w:tcPr>
            <w:tcW w:w="7114" w:type="dxa"/>
            <w:gridSpan w:val="8"/>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注册地址</w:t>
            </w:r>
          </w:p>
        </w:tc>
        <w:tc>
          <w:tcPr>
            <w:tcW w:w="4132" w:type="dxa"/>
            <w:gridSpan w:val="4"/>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邮政编码</w:t>
            </w:r>
          </w:p>
        </w:tc>
        <w:tc>
          <w:tcPr>
            <w:tcW w:w="1657" w:type="dxa"/>
            <w:gridSpan w:val="3"/>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联系方式</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联系人</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电话</w:t>
            </w:r>
          </w:p>
        </w:tc>
        <w:tc>
          <w:tcPr>
            <w:tcW w:w="1657" w:type="dxa"/>
            <w:gridSpan w:val="3"/>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spacing w:line="360" w:lineRule="auto"/>
              <w:ind w:firstLine="0" w:firstLineChars="0"/>
              <w:rPr>
                <w:color w:val="auto"/>
              </w:rPr>
            </w:pP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传真</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网址</w:t>
            </w:r>
          </w:p>
        </w:tc>
        <w:tc>
          <w:tcPr>
            <w:tcW w:w="1657" w:type="dxa"/>
            <w:gridSpan w:val="3"/>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组织结构</w:t>
            </w:r>
          </w:p>
        </w:tc>
        <w:tc>
          <w:tcPr>
            <w:tcW w:w="7114" w:type="dxa"/>
            <w:gridSpan w:val="8"/>
            <w:vAlign w:val="center"/>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法定代表人或分支机构负责人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电话</w:t>
            </w:r>
          </w:p>
        </w:tc>
        <w:tc>
          <w:tcPr>
            <w:tcW w:w="758" w:type="dxa"/>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技术负责人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电话</w:t>
            </w:r>
          </w:p>
        </w:tc>
        <w:tc>
          <w:tcPr>
            <w:tcW w:w="758" w:type="dxa"/>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成立时间</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4234" w:type="dxa"/>
            <w:gridSpan w:val="6"/>
          </w:tcPr>
          <w:p>
            <w:pPr>
              <w:spacing w:line="360" w:lineRule="auto"/>
              <w:ind w:firstLine="0" w:firstLineChars="0"/>
              <w:jc w:val="center"/>
              <w:rPr>
                <w:rFonts w:ascii="宋体"/>
                <w:color w:val="auto"/>
                <w:sz w:val="22"/>
                <w:szCs w:val="24"/>
              </w:rPr>
            </w:pPr>
            <w:r>
              <w:rPr>
                <w:rFonts w:hint="eastAsia" w:ascii="宋体"/>
                <w:color w:val="auto"/>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企业资质等级</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714"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其中</w:t>
            </w: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项目经理</w:t>
            </w:r>
          </w:p>
        </w:tc>
        <w:tc>
          <w:tcPr>
            <w:tcW w:w="1481" w:type="dxa"/>
            <w:gridSpan w:val="2"/>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营业执照号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color w:val="auto"/>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高级职称人员</w:t>
            </w:r>
          </w:p>
        </w:tc>
        <w:tc>
          <w:tcPr>
            <w:tcW w:w="1481" w:type="dxa"/>
            <w:gridSpan w:val="2"/>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注册资金</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color w:val="auto"/>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中级职称人员</w:t>
            </w:r>
          </w:p>
        </w:tc>
        <w:tc>
          <w:tcPr>
            <w:tcW w:w="1481" w:type="dxa"/>
            <w:gridSpan w:val="2"/>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开户银行</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color w:val="auto"/>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初级职称人员</w:t>
            </w:r>
          </w:p>
        </w:tc>
        <w:tc>
          <w:tcPr>
            <w:tcW w:w="1481" w:type="dxa"/>
            <w:gridSpan w:val="2"/>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账号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color w:val="auto"/>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技工</w:t>
            </w:r>
          </w:p>
        </w:tc>
        <w:tc>
          <w:tcPr>
            <w:tcW w:w="1481" w:type="dxa"/>
            <w:gridSpan w:val="2"/>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经营范围</w:t>
            </w:r>
          </w:p>
        </w:tc>
        <w:tc>
          <w:tcPr>
            <w:tcW w:w="7114" w:type="dxa"/>
            <w:gridSpan w:val="8"/>
          </w:tcPr>
          <w:p>
            <w:pPr>
              <w:spacing w:line="360" w:lineRule="auto"/>
              <w:ind w:firstLine="0" w:firstLineChars="0"/>
              <w:jc w:val="center"/>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ind w:firstLine="0" w:firstLineChars="0"/>
              <w:jc w:val="center"/>
              <w:rPr>
                <w:rFonts w:ascii="宋体"/>
                <w:color w:val="auto"/>
                <w:sz w:val="22"/>
                <w:szCs w:val="24"/>
              </w:rPr>
            </w:pPr>
            <w:r>
              <w:rPr>
                <w:rFonts w:hint="eastAsia" w:ascii="宋体"/>
                <w:color w:val="auto"/>
                <w:sz w:val="22"/>
                <w:szCs w:val="24"/>
              </w:rPr>
              <w:t>备注</w:t>
            </w:r>
          </w:p>
        </w:tc>
        <w:tc>
          <w:tcPr>
            <w:tcW w:w="7114" w:type="dxa"/>
            <w:gridSpan w:val="8"/>
          </w:tcPr>
          <w:p>
            <w:pPr>
              <w:spacing w:line="360" w:lineRule="auto"/>
              <w:ind w:firstLine="0" w:firstLineChars="0"/>
              <w:jc w:val="center"/>
              <w:rPr>
                <w:rFonts w:ascii="宋体"/>
                <w:color w:val="auto"/>
                <w:sz w:val="22"/>
                <w:szCs w:val="24"/>
              </w:rPr>
            </w:pPr>
          </w:p>
        </w:tc>
      </w:tr>
    </w:tbl>
    <w:p>
      <w:pPr>
        <w:widowControl/>
        <w:spacing w:line="360" w:lineRule="auto"/>
        <w:ind w:firstLine="400"/>
        <w:jc w:val="left"/>
        <w:rPr>
          <w:rFonts w:ascii="宋体"/>
          <w:color w:val="auto"/>
          <w:sz w:val="20"/>
          <w:szCs w:val="21"/>
        </w:rPr>
        <w:sectPr>
          <w:pgSz w:w="11906" w:h="16838"/>
          <w:pgMar w:top="1440" w:right="1800" w:bottom="1440" w:left="1800" w:header="851" w:footer="992" w:gutter="0"/>
          <w:pgNumType w:fmt="decimal"/>
          <w:cols w:space="720" w:num="1"/>
          <w:docGrid w:type="lines" w:linePitch="312" w:charSpace="0"/>
        </w:sectPr>
      </w:pPr>
      <w:r>
        <w:rPr>
          <w:rFonts w:hint="eastAsia" w:ascii="宋体"/>
          <w:color w:val="auto"/>
          <w:sz w:val="20"/>
          <w:szCs w:val="21"/>
        </w:rPr>
        <w:t>注：附营业执照（副本）、</w:t>
      </w:r>
      <w:r>
        <w:rPr>
          <w:rFonts w:hint="eastAsia" w:ascii="宋体" w:hAnsi="宋体"/>
          <w:color w:val="auto"/>
          <w:sz w:val="20"/>
          <w:szCs w:val="21"/>
        </w:rPr>
        <w:t>总公司授权委托书、</w:t>
      </w:r>
      <w:r>
        <w:rPr>
          <w:rFonts w:hint="eastAsia" w:ascii="宋体"/>
          <w:color w:val="auto"/>
          <w:sz w:val="20"/>
          <w:szCs w:val="21"/>
        </w:rPr>
        <w:t>资质证明复印件等。</w:t>
      </w:r>
    </w:p>
    <w:p>
      <w:pPr>
        <w:pStyle w:val="29"/>
        <w:rPr>
          <w:color w:val="auto"/>
        </w:rPr>
      </w:pPr>
      <w:bookmarkStart w:id="93" w:name="_Toc478053903"/>
      <w:bookmarkStart w:id="94" w:name="_Toc472780356"/>
      <w:bookmarkStart w:id="95" w:name="_Toc378234770"/>
      <w:bookmarkStart w:id="96" w:name="_Toc478054435"/>
      <w:bookmarkStart w:id="97" w:name="_Toc378234584"/>
      <w:r>
        <w:rPr>
          <w:color w:val="auto"/>
        </w:rPr>
        <w:t>（二）法定代表人</w:t>
      </w:r>
      <w:r>
        <w:rPr>
          <w:rFonts w:hint="eastAsia" w:ascii="宋体"/>
          <w:snapToGrid w:val="0"/>
          <w:color w:val="auto"/>
          <w:kern w:val="0"/>
        </w:rPr>
        <w:t>或</w:t>
      </w:r>
      <w:r>
        <w:rPr>
          <w:rFonts w:hint="eastAsia"/>
          <w:color w:val="auto"/>
        </w:rPr>
        <w:t>分支机构负责人</w:t>
      </w:r>
      <w:r>
        <w:rPr>
          <w:color w:val="auto"/>
        </w:rPr>
        <w:t>身份证明及授权委托书</w:t>
      </w:r>
      <w:bookmarkEnd w:id="93"/>
      <w:bookmarkEnd w:id="94"/>
      <w:bookmarkEnd w:id="95"/>
      <w:bookmarkEnd w:id="96"/>
      <w:bookmarkEnd w:id="97"/>
    </w:p>
    <w:p>
      <w:pPr>
        <w:pStyle w:val="30"/>
        <w:rPr>
          <w:rFonts w:hint="default"/>
          <w:color w:val="auto"/>
        </w:rPr>
      </w:pPr>
      <w:r>
        <w:rPr>
          <w:color w:val="auto"/>
        </w:rPr>
        <w:t>法定代表人/分支机构负责人身份证明书</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项目名称：</w:t>
      </w:r>
      <w:r>
        <w:rPr>
          <w:rFonts w:hint="eastAsia" w:ascii="宋体"/>
          <w:snapToGrid w:val="0"/>
          <w:color w:val="auto"/>
          <w:kern w:val="0"/>
          <w:u w:val="single"/>
        </w:rPr>
        <w:t>____________________</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致：</w:t>
      </w:r>
      <w:r>
        <w:rPr>
          <w:rFonts w:hint="eastAsia" w:ascii="宋体"/>
          <w:snapToGrid w:val="0"/>
          <w:color w:val="auto"/>
          <w:kern w:val="0"/>
          <w:u w:val="single"/>
        </w:rPr>
        <w:t xml:space="preserve"> 重庆三峡银行股份有限公司  </w:t>
      </w:r>
      <w:r>
        <w:rPr>
          <w:rFonts w:hint="eastAsia" w:ascii="宋体"/>
          <w:snapToGrid w:val="0"/>
          <w:color w:val="auto"/>
          <w:kern w:val="0"/>
        </w:rPr>
        <w:t>：</w:t>
      </w: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u w:val="single"/>
        </w:rPr>
        <w:t xml:space="preserve">        </w:t>
      </w:r>
      <w:r>
        <w:rPr>
          <w:rFonts w:hint="eastAsia" w:ascii="宋体"/>
          <w:snapToGrid w:val="0"/>
          <w:color w:val="auto"/>
          <w:kern w:val="0"/>
        </w:rPr>
        <w:t>（</w:t>
      </w:r>
      <w:r>
        <w:rPr>
          <w:rFonts w:hint="eastAsia" w:ascii="宋体" w:cs="Cambria"/>
          <w:snapToGrid w:val="0"/>
          <w:color w:val="auto"/>
          <w:kern w:val="0"/>
          <w:szCs w:val="24"/>
        </w:rPr>
        <w:t>参选</w:t>
      </w:r>
      <w:r>
        <w:rPr>
          <w:rFonts w:hint="eastAsia" w:ascii="宋体"/>
          <w:snapToGrid w:val="0"/>
          <w:color w:val="auto"/>
          <w:kern w:val="0"/>
        </w:rPr>
        <w:t>人法定代表人</w:t>
      </w:r>
      <w:r>
        <w:rPr>
          <w:rFonts w:hint="eastAsia"/>
          <w:color w:val="auto"/>
        </w:rPr>
        <w:t>或分支机构负责人</w:t>
      </w:r>
      <w:r>
        <w:rPr>
          <w:rFonts w:hint="eastAsia" w:ascii="宋体"/>
          <w:snapToGrid w:val="0"/>
          <w:color w:val="auto"/>
          <w:kern w:val="0"/>
        </w:rPr>
        <w:t>姓名）在</w:t>
      </w:r>
      <w:r>
        <w:rPr>
          <w:rFonts w:hint="eastAsia" w:ascii="宋体"/>
          <w:snapToGrid w:val="0"/>
          <w:color w:val="auto"/>
          <w:kern w:val="0"/>
          <w:u w:val="single"/>
        </w:rPr>
        <w:t xml:space="preserve">        </w:t>
      </w:r>
      <w:r>
        <w:rPr>
          <w:rFonts w:hint="eastAsia" w:ascii="宋体"/>
          <w:snapToGrid w:val="0"/>
          <w:color w:val="auto"/>
          <w:kern w:val="0"/>
        </w:rPr>
        <w:t>（参选人名称）任</w:t>
      </w:r>
      <w:r>
        <w:rPr>
          <w:rFonts w:hint="eastAsia" w:ascii="宋体"/>
          <w:snapToGrid w:val="0"/>
          <w:color w:val="auto"/>
          <w:kern w:val="0"/>
          <w:u w:val="single"/>
        </w:rPr>
        <w:t xml:space="preserve">        </w:t>
      </w:r>
      <w:r>
        <w:rPr>
          <w:rFonts w:hint="eastAsia" w:ascii="宋体"/>
          <w:snapToGrid w:val="0"/>
          <w:color w:val="auto"/>
          <w:kern w:val="0"/>
        </w:rPr>
        <w:t>（职务名称）职务，是（参</w:t>
      </w:r>
      <w:r>
        <w:rPr>
          <w:rFonts w:hint="eastAsia" w:ascii="宋体" w:cs="Cambria"/>
          <w:snapToGrid w:val="0"/>
          <w:color w:val="auto"/>
          <w:kern w:val="0"/>
          <w:szCs w:val="24"/>
        </w:rPr>
        <w:t>选</w:t>
      </w:r>
      <w:r>
        <w:rPr>
          <w:rFonts w:hint="eastAsia" w:ascii="宋体"/>
          <w:snapToGrid w:val="0"/>
          <w:color w:val="auto"/>
          <w:kern w:val="0"/>
        </w:rPr>
        <w:t>人名称）</w:t>
      </w:r>
      <w:r>
        <w:rPr>
          <w:rFonts w:hint="eastAsia" w:ascii="宋体"/>
          <w:snapToGrid w:val="0"/>
          <w:color w:val="auto"/>
          <w:kern w:val="0"/>
          <w:u w:val="single"/>
        </w:rPr>
        <w:t xml:space="preserve">        </w:t>
      </w:r>
      <w:r>
        <w:rPr>
          <w:rFonts w:hint="eastAsia" w:ascii="宋体"/>
          <w:snapToGrid w:val="0"/>
          <w:color w:val="auto"/>
          <w:kern w:val="0"/>
        </w:rPr>
        <w:t>的法定代表人/</w:t>
      </w:r>
      <w:r>
        <w:rPr>
          <w:rFonts w:hint="eastAsia"/>
          <w:color w:val="auto"/>
        </w:rPr>
        <w:t>分支机构负责人</w:t>
      </w:r>
      <w:r>
        <w:rPr>
          <w:rFonts w:hint="eastAsia" w:ascii="宋体"/>
          <w:snapToGrid w:val="0"/>
          <w:color w:val="auto"/>
          <w:kern w:val="0"/>
        </w:rPr>
        <w:t>。</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特此证明。</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6000" w:firstLineChars="2500"/>
        <w:rPr>
          <w:rFonts w:ascii="宋体"/>
          <w:snapToGrid w:val="0"/>
          <w:color w:val="auto"/>
          <w:kern w:val="0"/>
        </w:rPr>
      </w:pPr>
      <w:r>
        <w:rPr>
          <w:rFonts w:hint="eastAsia" w:ascii="宋体"/>
          <w:snapToGrid w:val="0"/>
          <w:color w:val="auto"/>
          <w:kern w:val="0"/>
        </w:rPr>
        <w:t>参选人：</w:t>
      </w:r>
    </w:p>
    <w:p>
      <w:pPr>
        <w:tabs>
          <w:tab w:val="left" w:pos="6300"/>
        </w:tabs>
        <w:snapToGrid w:val="0"/>
        <w:spacing w:line="360" w:lineRule="auto"/>
        <w:ind w:firstLine="5760" w:firstLineChars="2400"/>
        <w:rPr>
          <w:rFonts w:ascii="宋体"/>
          <w:snapToGrid w:val="0"/>
          <w:color w:val="auto"/>
          <w:kern w:val="0"/>
        </w:rPr>
      </w:pPr>
      <w:r>
        <w:rPr>
          <w:rFonts w:hint="eastAsia" w:ascii="宋体"/>
          <w:snapToGrid w:val="0"/>
          <w:color w:val="auto"/>
          <w:kern w:val="0"/>
        </w:rPr>
        <w:t>（</w:t>
      </w:r>
      <w:r>
        <w:rPr>
          <w:rFonts w:hint="eastAsia" w:ascii="宋体" w:cs="Cambria"/>
          <w:snapToGrid w:val="0"/>
          <w:color w:val="auto"/>
          <w:kern w:val="0"/>
          <w:szCs w:val="24"/>
        </w:rPr>
        <w:t>参选</w:t>
      </w:r>
      <w:r>
        <w:rPr>
          <w:rFonts w:hint="eastAsia" w:ascii="宋体"/>
          <w:snapToGrid w:val="0"/>
          <w:color w:val="auto"/>
          <w:kern w:val="0"/>
        </w:rPr>
        <w:t>人公章）</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 xml:space="preserve">                                             年   月   日</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（附：法定代表人</w:t>
      </w:r>
      <w:r>
        <w:rPr>
          <w:rFonts w:hint="eastAsia"/>
          <w:color w:val="auto"/>
        </w:rPr>
        <w:t>或分支机构负责人</w:t>
      </w:r>
      <w:r>
        <w:rPr>
          <w:rFonts w:hint="eastAsia" w:ascii="宋体"/>
          <w:snapToGrid w:val="0"/>
          <w:color w:val="auto"/>
          <w:kern w:val="0"/>
        </w:rPr>
        <w:t>身份证正反面复印件）</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sectPr>
          <w:pgSz w:w="11906" w:h="16838"/>
          <w:pgMar w:top="1440" w:right="1800" w:bottom="1440" w:left="1800" w:header="851" w:footer="992" w:gutter="0"/>
          <w:pgNumType w:fmt="decimal"/>
          <w:cols w:space="720" w:num="1"/>
          <w:docGrid w:type="lines" w:linePitch="312" w:charSpace="0"/>
        </w:sectPr>
      </w:pPr>
    </w:p>
    <w:p>
      <w:pPr>
        <w:ind w:firstLine="482"/>
        <w:jc w:val="center"/>
        <w:rPr>
          <w:rStyle w:val="31"/>
          <w:rFonts w:hint="default"/>
          <w:color w:val="auto"/>
        </w:rPr>
      </w:pPr>
      <w:r>
        <w:rPr>
          <w:rStyle w:val="31"/>
          <w:rFonts w:hint="default"/>
          <w:color w:val="auto"/>
        </w:rPr>
        <w:t>法定代表人</w:t>
      </w:r>
      <w:r>
        <w:rPr>
          <w:rFonts w:hint="eastAsia"/>
          <w:b/>
          <w:bCs/>
          <w:snapToGrid w:val="0"/>
          <w:color w:val="auto"/>
        </w:rPr>
        <w:t>（分支机构负责人）</w:t>
      </w:r>
      <w:r>
        <w:rPr>
          <w:rStyle w:val="31"/>
          <w:rFonts w:hint="default"/>
          <w:color w:val="auto"/>
        </w:rPr>
        <w:t>授权委托书</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szCs w:val="28"/>
        </w:rPr>
        <w:t>项目名称</w:t>
      </w:r>
      <w:r>
        <w:rPr>
          <w:rFonts w:hint="eastAsia" w:ascii="宋体"/>
          <w:snapToGrid w:val="0"/>
          <w:color w:val="auto"/>
          <w:kern w:val="0"/>
        </w:rPr>
        <w:t>：</w:t>
      </w:r>
      <w:r>
        <w:rPr>
          <w:rFonts w:hint="eastAsia" w:ascii="宋体"/>
          <w:snapToGrid w:val="0"/>
          <w:color w:val="auto"/>
          <w:kern w:val="0"/>
          <w:szCs w:val="24"/>
          <w:u w:val="single"/>
        </w:rPr>
        <w:t>___________________</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致：</w:t>
      </w:r>
      <w:r>
        <w:rPr>
          <w:rFonts w:hint="eastAsia" w:ascii="宋体"/>
          <w:snapToGrid w:val="0"/>
          <w:color w:val="auto"/>
          <w:kern w:val="0"/>
          <w:u w:val="single"/>
        </w:rPr>
        <w:t>重庆三峡银行股份有限公司</w:t>
      </w:r>
      <w:r>
        <w:rPr>
          <w:rFonts w:hint="eastAsia" w:ascii="宋体"/>
          <w:snapToGrid w:val="0"/>
          <w:color w:val="auto"/>
          <w:kern w:val="0"/>
        </w:rPr>
        <w:t>：</w:t>
      </w: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u w:val="single"/>
        </w:rPr>
        <w:t xml:space="preserve">        </w:t>
      </w:r>
      <w:r>
        <w:rPr>
          <w:rFonts w:hint="eastAsia" w:ascii="宋体"/>
          <w:snapToGrid w:val="0"/>
          <w:color w:val="auto"/>
          <w:kern w:val="0"/>
        </w:rPr>
        <w:t>（</w:t>
      </w:r>
      <w:r>
        <w:rPr>
          <w:rFonts w:hint="eastAsia" w:ascii="宋体" w:cs="Cambria"/>
          <w:snapToGrid w:val="0"/>
          <w:color w:val="auto"/>
          <w:kern w:val="0"/>
          <w:szCs w:val="24"/>
        </w:rPr>
        <w:t>参选</w:t>
      </w:r>
      <w:r>
        <w:rPr>
          <w:rFonts w:hint="eastAsia" w:ascii="宋体"/>
          <w:snapToGrid w:val="0"/>
          <w:color w:val="auto"/>
          <w:kern w:val="0"/>
        </w:rPr>
        <w:t>人法定代表人</w:t>
      </w:r>
      <w:r>
        <w:rPr>
          <w:rFonts w:hint="eastAsia"/>
          <w:color w:val="auto"/>
        </w:rPr>
        <w:t>或分支机构负责人</w:t>
      </w:r>
      <w:r>
        <w:rPr>
          <w:rFonts w:hint="eastAsia" w:ascii="宋体"/>
          <w:snapToGrid w:val="0"/>
          <w:color w:val="auto"/>
          <w:kern w:val="0"/>
        </w:rPr>
        <w:t>名称）是</w:t>
      </w:r>
      <w:r>
        <w:rPr>
          <w:rFonts w:hint="eastAsia" w:ascii="宋体"/>
          <w:snapToGrid w:val="0"/>
          <w:color w:val="auto"/>
          <w:kern w:val="0"/>
          <w:u w:val="single"/>
        </w:rPr>
        <w:t xml:space="preserve">        </w:t>
      </w:r>
      <w:r>
        <w:rPr>
          <w:rFonts w:hint="eastAsia" w:ascii="宋体"/>
          <w:snapToGrid w:val="0"/>
          <w:color w:val="auto"/>
          <w:kern w:val="0"/>
        </w:rPr>
        <w:t>（</w:t>
      </w:r>
      <w:r>
        <w:rPr>
          <w:rFonts w:hint="eastAsia" w:ascii="宋体" w:cs="Cambria"/>
          <w:snapToGrid w:val="0"/>
          <w:color w:val="auto"/>
          <w:kern w:val="0"/>
          <w:szCs w:val="24"/>
        </w:rPr>
        <w:t>参选</w:t>
      </w:r>
      <w:r>
        <w:rPr>
          <w:rFonts w:hint="eastAsia" w:ascii="宋体"/>
          <w:snapToGrid w:val="0"/>
          <w:color w:val="auto"/>
          <w:kern w:val="0"/>
        </w:rPr>
        <w:t>人名称）的法定代表人</w:t>
      </w:r>
      <w:r>
        <w:rPr>
          <w:rFonts w:hint="eastAsia"/>
          <w:color w:val="auto"/>
        </w:rPr>
        <w:t>（分支机构负责人）</w:t>
      </w:r>
      <w:r>
        <w:rPr>
          <w:rFonts w:hint="eastAsia" w:ascii="宋体"/>
          <w:snapToGrid w:val="0"/>
          <w:color w:val="auto"/>
          <w:kern w:val="0"/>
        </w:rPr>
        <w:t>，特授权</w:t>
      </w:r>
      <w:r>
        <w:rPr>
          <w:rFonts w:hint="eastAsia" w:ascii="宋体"/>
          <w:snapToGrid w:val="0"/>
          <w:color w:val="auto"/>
          <w:kern w:val="0"/>
          <w:u w:val="single"/>
        </w:rPr>
        <w:t xml:space="preserve">        </w:t>
      </w:r>
      <w:r>
        <w:rPr>
          <w:rFonts w:hint="eastAsia" w:ascii="宋体"/>
          <w:snapToGrid w:val="0"/>
          <w:color w:val="auto"/>
          <w:kern w:val="0"/>
        </w:rPr>
        <w:t>（被授权人姓名及身份证代码）代表我单位全权办理上述项目的</w:t>
      </w:r>
      <w:r>
        <w:rPr>
          <w:rFonts w:hint="eastAsia" w:ascii="宋体" w:cs="Cambria"/>
          <w:snapToGrid w:val="0"/>
          <w:color w:val="auto"/>
          <w:kern w:val="0"/>
          <w:szCs w:val="24"/>
        </w:rPr>
        <w:t>参选</w:t>
      </w:r>
      <w:r>
        <w:rPr>
          <w:rFonts w:hint="eastAsia" w:ascii="宋体"/>
          <w:snapToGrid w:val="0"/>
          <w:color w:val="auto"/>
          <w:kern w:val="0"/>
        </w:rPr>
        <w:t>、谈判、签约等具体工作，并签署全部有关文件、协议及合同。</w:t>
      </w: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我单位对被授权人的签字负全部责任。</w:t>
      </w: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在撤消授权的书面通知以前，本授权书一直有效。被授权人在授权书有效期内签署的所有文件不因授权的撤消而失效。</w:t>
      </w:r>
    </w:p>
    <w:p>
      <w:pPr>
        <w:tabs>
          <w:tab w:val="left" w:pos="6300"/>
        </w:tabs>
        <w:snapToGrid w:val="0"/>
        <w:spacing w:line="360" w:lineRule="auto"/>
        <w:ind w:firstLine="480"/>
        <w:rPr>
          <w:rFonts w:ascii="宋体"/>
          <w:snapToGrid w:val="0"/>
          <w:color w:val="auto"/>
          <w:kern w:val="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firstLineChars="0"/>
              <w:rPr>
                <w:rFonts w:ascii="宋体"/>
                <w:snapToGrid w:val="0"/>
                <w:color w:val="auto"/>
                <w:kern w:val="0"/>
              </w:rPr>
            </w:pPr>
            <w:r>
              <w:rPr>
                <w:rFonts w:hint="eastAsia" w:ascii="宋体"/>
                <w:snapToGrid w:val="0"/>
                <w:color w:val="auto"/>
                <w:kern w:val="0"/>
              </w:rPr>
              <w:t>被授权人</w:t>
            </w:r>
          </w:p>
        </w:tc>
        <w:tc>
          <w:tcPr>
            <w:tcW w:w="4261" w:type="dxa"/>
            <w:tcBorders>
              <w:top w:val="nil"/>
              <w:left w:val="nil"/>
              <w:bottom w:val="nil"/>
              <w:right w:val="nil"/>
            </w:tcBorders>
          </w:tcPr>
          <w:p>
            <w:pPr>
              <w:tabs>
                <w:tab w:val="left" w:pos="6300"/>
              </w:tabs>
              <w:snapToGrid w:val="0"/>
              <w:spacing w:line="360" w:lineRule="auto"/>
              <w:ind w:firstLine="0" w:firstLineChars="0"/>
              <w:rPr>
                <w:rFonts w:ascii="宋体"/>
                <w:snapToGrid w:val="0"/>
                <w:color w:val="auto"/>
                <w:kern w:val="0"/>
              </w:rPr>
            </w:pPr>
            <w:r>
              <w:rPr>
                <w:rFonts w:hint="eastAsia" w:ascii="宋体" w:cs="Cambria"/>
                <w:snapToGrid w:val="0"/>
                <w:color w:val="auto"/>
                <w:kern w:val="0"/>
                <w:szCs w:val="24"/>
              </w:rPr>
              <w:t>参选</w:t>
            </w:r>
            <w:r>
              <w:rPr>
                <w:rFonts w:hint="eastAsia" w:ascii="宋体"/>
                <w:snapToGrid w:val="0"/>
                <w:color w:val="auto"/>
                <w:kern w:val="0"/>
              </w:rPr>
              <w:t>人法定代表人</w:t>
            </w:r>
            <w:r>
              <w:rPr>
                <w:rFonts w:hint="eastAsia"/>
                <w:color w:val="auto"/>
              </w:rPr>
              <w:t>或分支机构负责人</w:t>
            </w:r>
            <w:r>
              <w:rPr>
                <w:rFonts w:hint="eastAsia" w:ascii="宋体"/>
                <w:snapToGrid w:val="0"/>
                <w:color w:val="auto"/>
                <w:kern w:val="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firstLineChars="0"/>
              <w:rPr>
                <w:rFonts w:ascii="宋体"/>
                <w:snapToGrid w:val="0"/>
                <w:color w:val="auto"/>
                <w:kern w:val="0"/>
              </w:rPr>
            </w:pPr>
            <w:r>
              <w:rPr>
                <w:rFonts w:hint="eastAsia" w:ascii="宋体"/>
                <w:snapToGrid w:val="0"/>
                <w:color w:val="auto"/>
                <w:kern w:val="0"/>
                <w:szCs w:val="28"/>
              </w:rPr>
              <w:t>（签字或盖章）</w:t>
            </w:r>
          </w:p>
        </w:tc>
        <w:tc>
          <w:tcPr>
            <w:tcW w:w="4261" w:type="dxa"/>
            <w:tcBorders>
              <w:top w:val="nil"/>
              <w:left w:val="nil"/>
              <w:bottom w:val="nil"/>
              <w:right w:val="nil"/>
            </w:tcBorders>
          </w:tcPr>
          <w:p>
            <w:pPr>
              <w:tabs>
                <w:tab w:val="left" w:pos="6300"/>
              </w:tabs>
              <w:snapToGrid w:val="0"/>
              <w:spacing w:line="360" w:lineRule="auto"/>
              <w:ind w:firstLine="0" w:firstLineChars="0"/>
              <w:rPr>
                <w:rFonts w:ascii="宋体"/>
                <w:snapToGrid w:val="0"/>
                <w:color w:val="auto"/>
                <w:kern w:val="0"/>
              </w:rPr>
            </w:pPr>
            <w:r>
              <w:rPr>
                <w:rFonts w:hint="eastAsia" w:ascii="宋体"/>
                <w:snapToGrid w:val="0"/>
                <w:color w:val="auto"/>
                <w:kern w:val="0"/>
                <w:szCs w:val="28"/>
              </w:rPr>
              <w:t>（签字或盖章）</w:t>
            </w:r>
          </w:p>
        </w:tc>
      </w:tr>
    </w:tbl>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szCs w:val="28"/>
        </w:rPr>
      </w:pP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（附：被授权人身份证正反面复印件）</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right="480" w:firstLine="480"/>
        <w:jc w:val="right"/>
        <w:rPr>
          <w:rFonts w:ascii="宋体"/>
          <w:snapToGrid w:val="0"/>
          <w:color w:val="auto"/>
          <w:kern w:val="0"/>
        </w:rPr>
      </w:pPr>
      <w:r>
        <w:rPr>
          <w:rFonts w:hint="eastAsia" w:ascii="宋体"/>
          <w:snapToGrid w:val="0"/>
          <w:color w:val="auto"/>
          <w:kern w:val="0"/>
        </w:rPr>
        <w:t>（</w:t>
      </w:r>
      <w:r>
        <w:rPr>
          <w:rFonts w:hint="eastAsia" w:ascii="宋体" w:cs="Cambria"/>
          <w:snapToGrid w:val="0"/>
          <w:color w:val="auto"/>
          <w:kern w:val="0"/>
          <w:szCs w:val="24"/>
        </w:rPr>
        <w:t>参选</w:t>
      </w:r>
      <w:r>
        <w:rPr>
          <w:rFonts w:hint="eastAsia" w:ascii="宋体"/>
          <w:snapToGrid w:val="0"/>
          <w:color w:val="auto"/>
          <w:kern w:val="0"/>
        </w:rPr>
        <w:t>人公章）</w:t>
      </w:r>
    </w:p>
    <w:p>
      <w:pPr>
        <w:tabs>
          <w:tab w:val="left" w:pos="6300"/>
        </w:tabs>
        <w:snapToGrid w:val="0"/>
        <w:spacing w:line="360" w:lineRule="auto"/>
        <w:ind w:right="480" w:firstLine="480"/>
        <w:jc w:val="right"/>
        <w:rPr>
          <w:rFonts w:ascii="宋体"/>
          <w:snapToGrid w:val="0"/>
          <w:color w:val="auto"/>
          <w:kern w:val="0"/>
        </w:rPr>
      </w:pPr>
      <w:r>
        <w:rPr>
          <w:rFonts w:hint="eastAsia" w:ascii="宋体"/>
          <w:snapToGrid w:val="0"/>
          <w:color w:val="auto"/>
          <w:kern w:val="0"/>
        </w:rPr>
        <w:t>年   月   日</w:t>
      </w:r>
    </w:p>
    <w:p>
      <w:pPr>
        <w:tabs>
          <w:tab w:val="left" w:pos="6300"/>
        </w:tabs>
        <w:snapToGrid w:val="0"/>
        <w:spacing w:line="360" w:lineRule="auto"/>
        <w:ind w:firstLine="480"/>
        <w:rPr>
          <w:rFonts w:ascii="宋体"/>
          <w:snapToGrid w:val="0"/>
          <w:color w:val="auto"/>
          <w:kern w:val="0"/>
        </w:rPr>
      </w:pP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注：1.若为法定代表人（分支机构负责人）办理并签署参选文件的，不提供此文件。</w:t>
      </w: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2.若为联合体参选的，法定代表人授权委托书由联合体主办方（主体）出具。</w:t>
      </w:r>
    </w:p>
    <w:p>
      <w:pPr>
        <w:ind w:firstLine="480"/>
        <w:rPr>
          <w:color w:val="auto"/>
        </w:rPr>
      </w:pPr>
    </w:p>
    <w:p>
      <w:pPr>
        <w:ind w:firstLine="480"/>
        <w:rPr>
          <w:color w:val="auto"/>
        </w:rPr>
        <w:sectPr>
          <w:pgSz w:w="11906" w:h="16838"/>
          <w:pgMar w:top="1440" w:right="1800" w:bottom="1440" w:left="1800" w:header="851" w:footer="992" w:gutter="0"/>
          <w:pgNumType w:fmt="decimal"/>
          <w:cols w:space="720" w:num="1"/>
          <w:docGrid w:type="lines" w:linePitch="312" w:charSpace="0"/>
        </w:sectPr>
      </w:pPr>
    </w:p>
    <w:p>
      <w:pPr>
        <w:pStyle w:val="29"/>
        <w:rPr>
          <w:color w:val="auto"/>
        </w:rPr>
      </w:pPr>
      <w:r>
        <w:rPr>
          <w:rFonts w:hint="eastAsia"/>
          <w:color w:val="auto"/>
        </w:rPr>
        <w:t>（三）书面声明</w:t>
      </w:r>
    </w:p>
    <w:p>
      <w:pPr>
        <w:tabs>
          <w:tab w:val="left" w:pos="6300"/>
        </w:tabs>
        <w:snapToGrid w:val="0"/>
        <w:spacing w:line="360" w:lineRule="auto"/>
        <w:ind w:firstLine="480"/>
        <w:rPr>
          <w:rFonts w:ascii="宋体"/>
          <w:color w:val="auto"/>
        </w:rPr>
      </w:pPr>
    </w:p>
    <w:p>
      <w:pPr>
        <w:tabs>
          <w:tab w:val="left" w:pos="6300"/>
        </w:tabs>
        <w:snapToGrid w:val="0"/>
        <w:spacing w:line="360" w:lineRule="auto"/>
        <w:ind w:firstLine="480"/>
        <w:rPr>
          <w:rFonts w:ascii="宋体"/>
          <w:color w:val="auto"/>
        </w:rPr>
      </w:pPr>
      <w:r>
        <w:rPr>
          <w:rFonts w:hint="eastAsia" w:ascii="宋体"/>
          <w:color w:val="auto"/>
          <w:szCs w:val="28"/>
        </w:rPr>
        <w:t>项目名称</w:t>
      </w:r>
      <w:r>
        <w:rPr>
          <w:rFonts w:hint="eastAsia" w:ascii="宋体"/>
          <w:color w:val="auto"/>
        </w:rPr>
        <w:t>：</w:t>
      </w:r>
      <w:r>
        <w:rPr>
          <w:rFonts w:hint="eastAsia" w:ascii="宋体"/>
          <w:snapToGrid w:val="0"/>
          <w:color w:val="auto"/>
          <w:kern w:val="0"/>
          <w:szCs w:val="24"/>
          <w:u w:val="single"/>
        </w:rPr>
        <w:t>__________________</w:t>
      </w:r>
    </w:p>
    <w:p>
      <w:pPr>
        <w:tabs>
          <w:tab w:val="left" w:pos="6300"/>
        </w:tabs>
        <w:snapToGrid w:val="0"/>
        <w:spacing w:line="360" w:lineRule="auto"/>
        <w:ind w:firstLine="480"/>
        <w:rPr>
          <w:rFonts w:ascii="宋体"/>
          <w:color w:val="auto"/>
        </w:rPr>
      </w:pPr>
    </w:p>
    <w:p>
      <w:pPr>
        <w:tabs>
          <w:tab w:val="left" w:pos="6300"/>
        </w:tabs>
        <w:snapToGrid w:val="0"/>
        <w:spacing w:line="360" w:lineRule="auto"/>
        <w:ind w:firstLine="480"/>
        <w:rPr>
          <w:rFonts w:ascii="宋体"/>
          <w:color w:val="auto"/>
        </w:rPr>
      </w:pPr>
      <w:r>
        <w:rPr>
          <w:rFonts w:hint="eastAsia" w:ascii="宋体"/>
          <w:color w:val="auto"/>
        </w:rPr>
        <w:t>致：</w:t>
      </w:r>
      <w:r>
        <w:rPr>
          <w:rFonts w:hint="eastAsia" w:ascii="宋体"/>
          <w:snapToGrid w:val="0"/>
          <w:color w:val="auto"/>
          <w:kern w:val="0"/>
          <w:u w:val="single"/>
        </w:rPr>
        <w:t>重庆三峡银行股份有限公司</w:t>
      </w:r>
      <w:r>
        <w:rPr>
          <w:rFonts w:hint="eastAsia" w:ascii="宋体"/>
          <w:color w:val="auto"/>
        </w:rPr>
        <w:t>：</w:t>
      </w:r>
    </w:p>
    <w:p>
      <w:pPr>
        <w:tabs>
          <w:tab w:val="left" w:pos="6300"/>
        </w:tabs>
        <w:snapToGrid w:val="0"/>
        <w:spacing w:line="360" w:lineRule="auto"/>
        <w:ind w:firstLine="480"/>
        <w:rPr>
          <w:rFonts w:ascii="宋体"/>
          <w:color w:val="auto"/>
        </w:rPr>
      </w:pPr>
      <w:r>
        <w:rPr>
          <w:rFonts w:hint="eastAsia" w:ascii="宋体"/>
          <w:color w:val="auto"/>
        </w:rPr>
        <w:t>（</w:t>
      </w:r>
      <w:r>
        <w:rPr>
          <w:rFonts w:hint="eastAsia" w:ascii="宋体" w:cs="等线 Light"/>
          <w:snapToGrid w:val="0"/>
          <w:color w:val="auto"/>
          <w:kern w:val="0"/>
          <w:szCs w:val="24"/>
        </w:rPr>
        <w:t>参选</w:t>
      </w:r>
      <w:r>
        <w:rPr>
          <w:rFonts w:hint="eastAsia" w:ascii="宋体"/>
          <w:color w:val="auto"/>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color w:val="auto"/>
          <w:kern w:val="0"/>
          <w:szCs w:val="24"/>
        </w:rPr>
        <w:t>参选</w:t>
      </w:r>
      <w:r>
        <w:rPr>
          <w:rFonts w:hint="eastAsia" w:ascii="宋体"/>
          <w:color w:val="auto"/>
        </w:rPr>
        <w:t>人资格条件；</w:t>
      </w:r>
      <w:r>
        <w:rPr>
          <w:rFonts w:hint="eastAsia" w:ascii="宋体" w:hAnsi="宋体" w:cs="Cambria"/>
          <w:color w:val="auto"/>
          <w:szCs w:val="24"/>
        </w:rPr>
        <w:t>我公司本次如若中选，中选后不会对项目进行转包</w:t>
      </w:r>
      <w:r>
        <w:rPr>
          <w:rFonts w:hint="eastAsia" w:ascii="宋体"/>
          <w:color w:val="auto"/>
        </w:rPr>
        <w:t>。我方对以上声明负全部法律责任。</w:t>
      </w:r>
    </w:p>
    <w:p>
      <w:pPr>
        <w:tabs>
          <w:tab w:val="left" w:pos="6300"/>
        </w:tabs>
        <w:snapToGrid w:val="0"/>
        <w:spacing w:line="360" w:lineRule="auto"/>
        <w:ind w:firstLine="480"/>
        <w:rPr>
          <w:rFonts w:ascii="宋体"/>
          <w:color w:val="auto"/>
        </w:rPr>
      </w:pPr>
      <w:r>
        <w:rPr>
          <w:rFonts w:hint="eastAsia" w:ascii="宋体"/>
          <w:color w:val="auto"/>
        </w:rPr>
        <w:t>特此声明。</w:t>
      </w:r>
    </w:p>
    <w:p>
      <w:pPr>
        <w:tabs>
          <w:tab w:val="left" w:pos="6300"/>
        </w:tabs>
        <w:snapToGrid w:val="0"/>
        <w:spacing w:line="360" w:lineRule="auto"/>
        <w:ind w:firstLine="480"/>
        <w:rPr>
          <w:rFonts w:ascii="宋体"/>
          <w:color w:val="auto"/>
        </w:rPr>
      </w:pPr>
    </w:p>
    <w:p>
      <w:pPr>
        <w:tabs>
          <w:tab w:val="left" w:pos="6300"/>
        </w:tabs>
        <w:snapToGrid w:val="0"/>
        <w:spacing w:line="360" w:lineRule="auto"/>
        <w:ind w:firstLine="480"/>
        <w:rPr>
          <w:rFonts w:ascii="宋体"/>
          <w:color w:val="auto"/>
        </w:rPr>
      </w:pPr>
    </w:p>
    <w:p>
      <w:pPr>
        <w:tabs>
          <w:tab w:val="left" w:pos="6300"/>
        </w:tabs>
        <w:snapToGrid w:val="0"/>
        <w:spacing w:line="360" w:lineRule="auto"/>
        <w:ind w:firstLine="480"/>
        <w:rPr>
          <w:rFonts w:ascii="宋体"/>
          <w:color w:val="auto"/>
        </w:rPr>
      </w:pPr>
    </w:p>
    <w:p>
      <w:pPr>
        <w:tabs>
          <w:tab w:val="left" w:pos="6300"/>
        </w:tabs>
        <w:snapToGrid w:val="0"/>
        <w:spacing w:line="360" w:lineRule="auto"/>
        <w:ind w:right="424" w:firstLine="480"/>
        <w:jc w:val="right"/>
        <w:rPr>
          <w:rFonts w:ascii="宋体"/>
          <w:color w:val="auto"/>
        </w:rPr>
      </w:pPr>
      <w:r>
        <w:rPr>
          <w:rFonts w:hint="eastAsia" w:ascii="宋体"/>
          <w:color w:val="auto"/>
        </w:rPr>
        <w:t>（</w:t>
      </w:r>
      <w:r>
        <w:rPr>
          <w:rFonts w:hint="eastAsia" w:ascii="宋体" w:cs="等线 Light"/>
          <w:snapToGrid w:val="0"/>
          <w:color w:val="auto"/>
          <w:kern w:val="0"/>
          <w:szCs w:val="24"/>
        </w:rPr>
        <w:t>参选</w:t>
      </w:r>
      <w:r>
        <w:rPr>
          <w:rFonts w:hint="eastAsia" w:ascii="宋体"/>
          <w:color w:val="auto"/>
        </w:rPr>
        <w:t>人公章）</w:t>
      </w:r>
    </w:p>
    <w:p>
      <w:pPr>
        <w:tabs>
          <w:tab w:val="left" w:pos="6300"/>
        </w:tabs>
        <w:snapToGrid w:val="0"/>
        <w:spacing w:line="360" w:lineRule="auto"/>
        <w:ind w:right="480" w:firstLine="480"/>
        <w:jc w:val="right"/>
        <w:rPr>
          <w:rFonts w:ascii="宋体"/>
          <w:color w:val="auto"/>
        </w:rPr>
      </w:pPr>
      <w:r>
        <w:rPr>
          <w:rFonts w:hint="eastAsia" w:ascii="宋体"/>
          <w:color w:val="auto"/>
        </w:rPr>
        <w:t>年   月   日</w:t>
      </w:r>
    </w:p>
    <w:p>
      <w:pPr>
        <w:spacing w:line="360" w:lineRule="auto"/>
        <w:ind w:firstLine="480"/>
        <w:jc w:val="left"/>
        <w:rPr>
          <w:rFonts w:ascii="宋体" w:cs="等线 Light"/>
          <w:snapToGrid w:val="0"/>
          <w:color w:val="auto"/>
          <w:kern w:val="0"/>
          <w:szCs w:val="24"/>
        </w:rPr>
      </w:pPr>
    </w:p>
    <w:p>
      <w:pPr>
        <w:spacing w:line="360" w:lineRule="auto"/>
        <w:ind w:firstLine="480"/>
        <w:jc w:val="left"/>
        <w:rPr>
          <w:rFonts w:ascii="宋体" w:cs="等线 Light"/>
          <w:snapToGrid w:val="0"/>
          <w:color w:val="auto"/>
          <w:kern w:val="0"/>
          <w:szCs w:val="24"/>
        </w:rPr>
      </w:pPr>
    </w:p>
    <w:p>
      <w:pPr>
        <w:spacing w:line="360" w:lineRule="auto"/>
        <w:ind w:firstLine="480"/>
        <w:jc w:val="left"/>
        <w:rPr>
          <w:rFonts w:ascii="宋体" w:cs="等线 Light"/>
          <w:snapToGrid w:val="0"/>
          <w:color w:val="auto"/>
          <w:kern w:val="0"/>
          <w:szCs w:val="24"/>
        </w:rPr>
      </w:pPr>
    </w:p>
    <w:p>
      <w:pPr>
        <w:spacing w:line="360" w:lineRule="auto"/>
        <w:ind w:firstLine="480"/>
        <w:jc w:val="left"/>
        <w:rPr>
          <w:rFonts w:ascii="宋体" w:cs="等线 Light"/>
          <w:snapToGrid w:val="0"/>
          <w:color w:val="auto"/>
          <w:kern w:val="0"/>
          <w:szCs w:val="24"/>
        </w:rPr>
      </w:pPr>
    </w:p>
    <w:p>
      <w:pPr>
        <w:spacing w:line="360" w:lineRule="auto"/>
        <w:ind w:firstLine="480"/>
        <w:jc w:val="left"/>
        <w:rPr>
          <w:rFonts w:ascii="宋体" w:cs="等线 Light"/>
          <w:snapToGrid w:val="0"/>
          <w:color w:val="auto"/>
          <w:kern w:val="0"/>
          <w:szCs w:val="24"/>
        </w:rPr>
      </w:pPr>
    </w:p>
    <w:p>
      <w:pPr>
        <w:spacing w:line="360" w:lineRule="auto"/>
        <w:ind w:firstLine="480"/>
        <w:jc w:val="left"/>
        <w:rPr>
          <w:rFonts w:ascii="宋体" w:cs="等线 Light"/>
          <w:snapToGrid w:val="0"/>
          <w:color w:val="auto"/>
          <w:kern w:val="0"/>
          <w:szCs w:val="24"/>
        </w:rPr>
      </w:pPr>
    </w:p>
    <w:p>
      <w:pPr>
        <w:spacing w:line="360" w:lineRule="auto"/>
        <w:ind w:firstLine="480"/>
        <w:jc w:val="left"/>
        <w:rPr>
          <w:rFonts w:ascii="宋体" w:cs="等线 Light"/>
          <w:snapToGrid w:val="0"/>
          <w:color w:val="auto"/>
          <w:kern w:val="0"/>
          <w:szCs w:val="24"/>
        </w:rPr>
      </w:pPr>
    </w:p>
    <w:p>
      <w:pPr>
        <w:ind w:firstLine="480"/>
        <w:rPr>
          <w:b/>
          <w:bCs/>
          <w:color w:val="auto"/>
        </w:rPr>
      </w:pPr>
      <w:r>
        <w:rPr>
          <w:rFonts w:hint="eastAsia"/>
          <w:color w:val="auto"/>
          <w:kern w:val="0"/>
        </w:rPr>
        <w:br w:type="page"/>
      </w:r>
    </w:p>
    <w:p>
      <w:pPr>
        <w:pStyle w:val="29"/>
        <w:rPr>
          <w:color w:val="auto"/>
        </w:rPr>
      </w:pPr>
      <w:r>
        <w:rPr>
          <w:color w:val="auto"/>
        </w:rPr>
        <w:t>（</w:t>
      </w:r>
      <w:r>
        <w:rPr>
          <w:rFonts w:hint="eastAsia"/>
          <w:color w:val="auto"/>
        </w:rPr>
        <w:t>四</w:t>
      </w:r>
      <w:r>
        <w:rPr>
          <w:color w:val="auto"/>
        </w:rPr>
        <w:t>）中国执行信息公开网截图</w:t>
      </w: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r>
        <w:rPr>
          <w:rFonts w:hint="eastAsia"/>
          <w:color w:val="auto"/>
        </w:rPr>
        <w:br w:type="page"/>
      </w:r>
    </w:p>
    <w:p>
      <w:pPr>
        <w:pStyle w:val="29"/>
        <w:rPr>
          <w:color w:val="auto"/>
          <w:lang w:val="zh-CN"/>
        </w:rPr>
      </w:pPr>
      <w:r>
        <w:rPr>
          <w:rFonts w:hint="eastAsia"/>
          <w:color w:val="auto"/>
        </w:rPr>
        <w:t>（五）原厂参选授权函原件及原厂售后服务承诺函</w:t>
      </w:r>
    </w:p>
    <w:p>
      <w:pPr>
        <w:ind w:firstLine="480"/>
        <w:rPr>
          <w:color w:val="auto"/>
        </w:rPr>
      </w:pPr>
      <w:r>
        <w:rPr>
          <w:rFonts w:hint="eastAsia"/>
          <w:color w:val="auto"/>
        </w:rPr>
        <w:t>注：第一章第2.9 条提供对应材料，</w:t>
      </w:r>
      <w:r>
        <w:rPr>
          <w:rFonts w:hint="eastAsia"/>
          <w:color w:val="auto"/>
          <w:lang w:val="en-US" w:eastAsia="zh-CN"/>
        </w:rPr>
        <w:t>格式自拟，</w:t>
      </w:r>
      <w:r>
        <w:rPr>
          <w:rFonts w:hint="eastAsia"/>
          <w:color w:val="auto"/>
        </w:rPr>
        <w:t>包含但不限于以下内容：</w:t>
      </w:r>
    </w:p>
    <w:p>
      <w:pPr>
        <w:ind w:firstLine="480"/>
        <w:rPr>
          <w:color w:val="auto"/>
          <w:lang w:val="zh-CN"/>
        </w:rPr>
      </w:pPr>
      <w:r>
        <w:rPr>
          <w:rFonts w:hint="eastAsia"/>
          <w:color w:val="auto"/>
          <w:lang w:val="zh-CN"/>
        </w:rPr>
        <w:t>（1）若为厂商直接参与比选【提供：原厂售后服务承诺函（包括原厂维保时间及售后服务等级）原件】</w:t>
      </w:r>
    </w:p>
    <w:p>
      <w:pPr>
        <w:ind w:firstLine="480"/>
        <w:rPr>
          <w:color w:val="auto"/>
          <w:lang w:val="zh-CN"/>
        </w:rPr>
      </w:pPr>
      <w:r>
        <w:rPr>
          <w:rFonts w:hint="eastAsia"/>
          <w:color w:val="auto"/>
          <w:lang w:val="zh-CN"/>
        </w:rPr>
        <w:t>（2）若为代理商参与比选【提供：比选产品原厂对本项目出具的参选授权函原件及售后服务承诺函（包括原厂维保时间及售后服务等级）原件。】(注：一个原厂对同一品牌同一型号的产品，仅能委托一个代理商参与本项目）</w:t>
      </w:r>
    </w:p>
    <w:p>
      <w:pPr>
        <w:ind w:firstLine="480"/>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根据</w:t>
      </w:r>
      <w:r>
        <w:rPr>
          <w:rFonts w:hint="eastAsia"/>
          <w:color w:val="auto"/>
        </w:rPr>
        <w:t>第三章2.3 条要求，在售后服务承诺函中包含对应内容</w:t>
      </w:r>
    </w:p>
    <w:p>
      <w:pPr>
        <w:ind w:firstLine="480"/>
        <w:rPr>
          <w:color w:val="auto"/>
          <w:lang w:val="zh-CN"/>
        </w:rPr>
      </w:pPr>
      <w:r>
        <w:rPr>
          <w:rFonts w:hint="eastAsia"/>
          <w:color w:val="auto"/>
          <w:lang w:val="zh-CN"/>
        </w:rPr>
        <w:br w:type="page"/>
      </w:r>
    </w:p>
    <w:p>
      <w:pPr>
        <w:pStyle w:val="29"/>
        <w:rPr>
          <w:color w:val="auto"/>
        </w:rPr>
      </w:pPr>
      <w:r>
        <w:rPr>
          <w:rFonts w:hint="eastAsia"/>
          <w:color w:val="auto"/>
          <w:lang w:val="zh-CN"/>
        </w:rPr>
        <w:t>（</w:t>
      </w:r>
      <w:r>
        <w:rPr>
          <w:rFonts w:hint="eastAsia"/>
          <w:color w:val="auto"/>
        </w:rPr>
        <w:t>六</w:t>
      </w:r>
      <w:r>
        <w:rPr>
          <w:rFonts w:hint="eastAsia"/>
          <w:color w:val="auto"/>
          <w:lang w:val="zh-CN"/>
        </w:rPr>
        <w:t>）</w:t>
      </w:r>
      <w:r>
        <w:rPr>
          <w:rFonts w:hint="eastAsia"/>
          <w:color w:val="auto"/>
        </w:rPr>
        <w:t>售后服务说明</w:t>
      </w:r>
    </w:p>
    <w:p>
      <w:pPr>
        <w:ind w:firstLine="480"/>
        <w:rPr>
          <w:rFonts w:hint="eastAsia" w:eastAsia="宋体"/>
          <w:color w:val="auto"/>
          <w:lang w:eastAsia="zh-CN"/>
        </w:rPr>
      </w:pPr>
      <w:r>
        <w:rPr>
          <w:rFonts w:hint="eastAsia"/>
          <w:color w:val="auto"/>
          <w:lang w:val="zh-CN"/>
        </w:rPr>
        <w:t>（</w:t>
      </w:r>
      <w:r>
        <w:rPr>
          <w:rFonts w:hint="eastAsia"/>
          <w:color w:val="auto"/>
        </w:rPr>
        <w:t>3</w:t>
      </w:r>
      <w:r>
        <w:rPr>
          <w:rFonts w:hint="eastAsia"/>
          <w:color w:val="auto"/>
          <w:lang w:val="zh-CN"/>
        </w:rPr>
        <w:t>）</w:t>
      </w:r>
      <w:r>
        <w:rPr>
          <w:rFonts w:hint="eastAsia"/>
          <w:color w:val="auto"/>
        </w:rPr>
        <w:t>根据第三章 第2.3.</w:t>
      </w:r>
      <w:r>
        <w:rPr>
          <w:rFonts w:hint="eastAsia"/>
          <w:color w:val="auto"/>
          <w:lang w:val="en-US" w:eastAsia="zh-CN"/>
        </w:rPr>
        <w:t>2</w:t>
      </w:r>
      <w:r>
        <w:rPr>
          <w:rFonts w:hint="eastAsia"/>
          <w:color w:val="auto"/>
        </w:rPr>
        <w:t xml:space="preserve"> 条内容进行说明</w:t>
      </w:r>
      <w:r>
        <w:rPr>
          <w:rFonts w:hint="eastAsia"/>
          <w:color w:val="auto"/>
          <w:lang w:eastAsia="zh-CN"/>
        </w:rPr>
        <w:t>，</w:t>
      </w:r>
      <w:r>
        <w:rPr>
          <w:rFonts w:hint="eastAsia"/>
          <w:color w:val="auto"/>
          <w:lang w:val="en-US" w:eastAsia="zh-CN"/>
        </w:rPr>
        <w:t>格式自拟。</w:t>
      </w:r>
    </w:p>
    <w:p>
      <w:pPr>
        <w:ind w:firstLine="480"/>
        <w:rPr>
          <w:color w:val="auto"/>
          <w:lang w:val="zh-CN"/>
        </w:rPr>
      </w:pPr>
    </w:p>
    <w:p>
      <w:pPr>
        <w:ind w:firstLine="480"/>
        <w:rPr>
          <w:color w:val="auto"/>
          <w:lang w:val="zh-CN"/>
        </w:rPr>
        <w:sectPr>
          <w:pgSz w:w="11906" w:h="16838"/>
          <w:pgMar w:top="1440" w:right="1800" w:bottom="1440" w:left="1800" w:header="851" w:footer="992" w:gutter="0"/>
          <w:pgNumType w:fmt="decimal"/>
          <w:cols w:space="720" w:num="1"/>
          <w:docGrid w:type="lines" w:linePitch="312" w:charSpace="0"/>
        </w:sectPr>
      </w:pPr>
    </w:p>
    <w:p>
      <w:pPr>
        <w:pStyle w:val="29"/>
        <w:rPr>
          <w:color w:val="auto"/>
        </w:rPr>
      </w:pPr>
      <w:r>
        <w:rPr>
          <w:rFonts w:hint="eastAsia"/>
          <w:color w:val="auto"/>
          <w:lang w:val="zh-CN"/>
        </w:rPr>
        <w:t>（</w:t>
      </w:r>
      <w:r>
        <w:rPr>
          <w:rFonts w:hint="eastAsia"/>
          <w:color w:val="auto"/>
        </w:rPr>
        <w:t>七</w:t>
      </w:r>
      <w:r>
        <w:rPr>
          <w:rFonts w:hint="eastAsia"/>
          <w:color w:val="auto"/>
          <w:lang w:val="zh-CN"/>
        </w:rPr>
        <w:t>）项目案例</w:t>
      </w:r>
      <w:r>
        <w:rPr>
          <w:rFonts w:hint="eastAsia"/>
          <w:color w:val="auto"/>
        </w:rPr>
        <w:t>和业绩证明文件</w:t>
      </w:r>
    </w:p>
    <w:p>
      <w:pPr>
        <w:ind w:firstLine="480"/>
        <w:rPr>
          <w:color w:val="auto"/>
        </w:rPr>
      </w:pPr>
      <w:r>
        <w:rPr>
          <w:rFonts w:hint="eastAsia"/>
          <w:color w:val="auto"/>
        </w:rPr>
        <w:t>说明：根据第一章“参选人资格要求”中第2.10 条，提供对应材料，包含但不限于以下内容：</w:t>
      </w:r>
    </w:p>
    <w:p>
      <w:pPr>
        <w:ind w:firstLine="480"/>
        <w:rPr>
          <w:color w:val="auto"/>
        </w:rPr>
      </w:pPr>
      <w:r>
        <w:rPr>
          <w:rFonts w:hint="eastAsia"/>
          <w:color w:val="auto"/>
        </w:rPr>
        <w:t>1. 包含甲乙双方名称、双方印章、项目/产品的名称、</w:t>
      </w:r>
      <w:r>
        <w:rPr>
          <w:rFonts w:hint="eastAsia"/>
          <w:color w:val="auto"/>
          <w:highlight w:val="none"/>
        </w:rPr>
        <w:t>合同</w:t>
      </w:r>
      <w:r>
        <w:rPr>
          <w:rFonts w:hint="eastAsia"/>
          <w:color w:val="auto"/>
        </w:rPr>
        <w:t>、签订时间等信息的案例，至少三个</w:t>
      </w:r>
    </w:p>
    <w:p>
      <w:pPr>
        <w:ind w:firstLine="480"/>
        <w:rPr>
          <w:color w:val="auto"/>
        </w:rPr>
      </w:pPr>
      <w:r>
        <w:rPr>
          <w:color w:val="auto"/>
        </w:rPr>
        <w:t xml:space="preserve">2. </w:t>
      </w:r>
      <w:r>
        <w:rPr>
          <w:rFonts w:hint="eastAsia"/>
          <w:color w:val="auto"/>
        </w:rPr>
        <w:t>订单复印件（加盖参选人公章）</w:t>
      </w:r>
    </w:p>
    <w:p>
      <w:pPr>
        <w:ind w:firstLine="480"/>
        <w:rPr>
          <w:color w:val="auto"/>
          <w:lang w:val="zh-CN"/>
        </w:rPr>
      </w:pPr>
    </w:p>
    <w:p>
      <w:pPr>
        <w:ind w:firstLine="480"/>
        <w:rPr>
          <w:color w:val="auto"/>
          <w:lang w:val="zh-CN"/>
        </w:rPr>
        <w:sectPr>
          <w:pgSz w:w="11906" w:h="16838"/>
          <w:pgMar w:top="1440" w:right="1800" w:bottom="1440" w:left="1800" w:header="851" w:footer="992" w:gutter="0"/>
          <w:pgNumType w:fmt="decimal"/>
          <w:cols w:space="720" w:num="1"/>
          <w:docGrid w:type="lines" w:linePitch="312" w:charSpace="0"/>
        </w:sectPr>
      </w:pPr>
    </w:p>
    <w:p>
      <w:pPr>
        <w:pStyle w:val="29"/>
        <w:rPr>
          <w:color w:val="auto"/>
        </w:rPr>
      </w:pPr>
      <w:r>
        <w:rPr>
          <w:rFonts w:hint="eastAsia"/>
          <w:color w:val="auto"/>
        </w:rPr>
        <w:t>（八）满足信创需求的相关材料</w:t>
      </w:r>
    </w:p>
    <w:p>
      <w:pPr>
        <w:ind w:firstLine="480"/>
        <w:rPr>
          <w:color w:val="auto"/>
        </w:rPr>
      </w:pPr>
      <w:r>
        <w:rPr>
          <w:rFonts w:hint="eastAsia"/>
          <w:color w:val="auto"/>
        </w:rPr>
        <w:t>说明：根据第一章“参选人资格要求”中第2.11 条，提供对应材料，包含但不限于以下内容：</w:t>
      </w:r>
    </w:p>
    <w:p>
      <w:pPr>
        <w:ind w:firstLine="480"/>
        <w:rPr>
          <w:color w:val="auto"/>
        </w:rPr>
      </w:pPr>
      <w:r>
        <w:rPr>
          <w:rFonts w:hint="eastAsia"/>
          <w:color w:val="auto"/>
        </w:rPr>
        <w:t>1. 芯片厂商、规格型号、图片详细说明</w:t>
      </w:r>
    </w:p>
    <w:p>
      <w:pPr>
        <w:ind w:firstLine="480"/>
        <w:rPr>
          <w:color w:val="auto"/>
        </w:rPr>
      </w:pPr>
      <w:r>
        <w:rPr>
          <w:rFonts w:hint="eastAsia"/>
          <w:color w:val="auto"/>
        </w:rPr>
        <w:t>2. 出具芯片的检测报告复印件（加盖制造商公章）</w:t>
      </w:r>
    </w:p>
    <w:p>
      <w:pPr>
        <w:ind w:firstLine="480"/>
        <w:rPr>
          <w:color w:val="auto"/>
        </w:rPr>
      </w:pPr>
      <w:r>
        <w:rPr>
          <w:rFonts w:hint="eastAsia"/>
          <w:color w:val="auto"/>
        </w:rPr>
        <w:t>3. 操作系统的第三方检测机构报告（操作系统应为国产操作系统）</w:t>
      </w:r>
    </w:p>
    <w:p>
      <w:pPr>
        <w:ind w:firstLine="480"/>
        <w:rPr>
          <w:color w:val="auto"/>
        </w:rPr>
      </w:pPr>
    </w:p>
    <w:p>
      <w:pPr>
        <w:ind w:firstLine="480"/>
        <w:rPr>
          <w:color w:val="auto"/>
        </w:rPr>
        <w:sectPr>
          <w:pgSz w:w="11906" w:h="16838"/>
          <w:pgMar w:top="1440" w:right="1800" w:bottom="1440" w:left="1800" w:header="851" w:footer="992" w:gutter="0"/>
          <w:pgNumType w:fmt="decimal"/>
          <w:cols w:space="720" w:num="1"/>
          <w:docGrid w:type="lines" w:linePitch="312" w:charSpace="0"/>
        </w:sectPr>
      </w:pPr>
    </w:p>
    <w:p>
      <w:pPr>
        <w:pStyle w:val="29"/>
        <w:rPr>
          <w:color w:val="auto"/>
          <w:lang w:val="zh-CN"/>
        </w:rPr>
      </w:pPr>
      <w:r>
        <w:rPr>
          <w:rFonts w:hint="eastAsia"/>
          <w:color w:val="auto"/>
          <w:lang w:val="zh-CN"/>
        </w:rPr>
        <w:t>（</w:t>
      </w:r>
      <w:r>
        <w:rPr>
          <w:rFonts w:hint="eastAsia"/>
          <w:color w:val="auto"/>
        </w:rPr>
        <w:t>九</w:t>
      </w:r>
      <w:r>
        <w:rPr>
          <w:rFonts w:hint="eastAsia"/>
          <w:color w:val="auto"/>
          <w:lang w:val="zh-CN"/>
        </w:rPr>
        <w:t>）</w:t>
      </w:r>
      <w:r>
        <w:rPr>
          <w:rFonts w:hint="eastAsia"/>
          <w:color w:val="auto"/>
        </w:rPr>
        <w:t>其他</w:t>
      </w:r>
    </w:p>
    <w:p>
      <w:pPr>
        <w:ind w:firstLine="0" w:firstLineChars="0"/>
        <w:jc w:val="center"/>
        <w:rPr>
          <w:color w:val="auto"/>
          <w:lang w:val="zh-CN"/>
        </w:rPr>
      </w:pPr>
      <w:r>
        <w:rPr>
          <w:rFonts w:hint="eastAsia"/>
          <w:color w:val="auto"/>
          <w:lang w:val="zh-CN"/>
        </w:rPr>
        <w:t>（</w:t>
      </w:r>
      <w:r>
        <w:rPr>
          <w:rFonts w:hint="eastAsia"/>
          <w:color w:val="auto"/>
        </w:rPr>
        <w:t>参选人认为应添加的其他内容</w:t>
      </w:r>
      <w:r>
        <w:rPr>
          <w:rFonts w:hint="eastAsia"/>
          <w:color w:val="auto"/>
          <w:lang w:val="zh-CN"/>
        </w:rPr>
        <w:t>）</w:t>
      </w:r>
    </w:p>
    <w:p>
      <w:pPr>
        <w:ind w:firstLine="480"/>
        <w:rPr>
          <w:color w:val="auto"/>
          <w:lang w:val="zh-CN"/>
        </w:rPr>
      </w:pPr>
    </w:p>
    <w:p>
      <w:pPr>
        <w:ind w:firstLine="480"/>
        <w:rPr>
          <w:color w:val="auto"/>
          <w:lang w:val="zh-CN"/>
        </w:rPr>
      </w:pPr>
    </w:p>
    <w:p>
      <w:pPr>
        <w:ind w:firstLine="480"/>
        <w:rPr>
          <w:color w:val="auto"/>
          <w:lang w:val="zh-CN"/>
        </w:rPr>
      </w:pPr>
      <w:r>
        <w:rPr>
          <w:rFonts w:hint="eastAsia"/>
          <w:color w:val="auto"/>
          <w:lang w:val="zh-CN"/>
        </w:rPr>
        <w:br w:type="page"/>
      </w:r>
    </w:p>
    <w:p>
      <w:pPr>
        <w:pStyle w:val="28"/>
        <w:rPr>
          <w:rFonts w:hint="default"/>
          <w:color w:val="auto"/>
        </w:rPr>
      </w:pPr>
      <w:r>
        <w:rPr>
          <w:color w:val="auto"/>
        </w:rPr>
        <w:t>四、响应承诺函</w:t>
      </w:r>
    </w:p>
    <w:p>
      <w:pPr>
        <w:ind w:firstLine="480"/>
        <w:rPr>
          <w:color w:val="auto"/>
        </w:rPr>
      </w:pPr>
      <w:r>
        <w:rPr>
          <w:rFonts w:hint="eastAsia"/>
          <w:color w:val="auto"/>
        </w:rPr>
        <w:t>根据第三章“项目要求”内容，做出整体承诺，</w:t>
      </w:r>
      <w:r>
        <w:rPr>
          <w:rFonts w:hint="eastAsia"/>
          <w:color w:val="auto"/>
          <w:lang w:val="en-US" w:eastAsia="zh-CN"/>
        </w:rPr>
        <w:t>格式自拟</w:t>
      </w:r>
      <w:r>
        <w:rPr>
          <w:rFonts w:hint="eastAsia"/>
          <w:color w:val="auto"/>
        </w:rPr>
        <w:t>。</w:t>
      </w:r>
    </w:p>
    <w:p>
      <w:pPr>
        <w:ind w:firstLine="480"/>
        <w:rPr>
          <w:color w:val="auto"/>
        </w:rPr>
      </w:pPr>
    </w:p>
    <w:p>
      <w:pPr>
        <w:ind w:firstLine="480"/>
        <w:rPr>
          <w:color w:val="auto"/>
        </w:rPr>
      </w:pPr>
    </w:p>
    <w:p>
      <w:pPr>
        <w:ind w:firstLine="480"/>
        <w:rPr>
          <w:color w:val="auto"/>
        </w:rPr>
      </w:pPr>
    </w:p>
    <w:p>
      <w:pPr>
        <w:ind w:firstLine="480"/>
        <w:rPr>
          <w:color w:val="auto"/>
        </w:rPr>
        <w:sectPr>
          <w:pgSz w:w="11906" w:h="16838"/>
          <w:pgMar w:top="1440" w:right="1800" w:bottom="1440" w:left="1800" w:header="851" w:footer="992" w:gutter="0"/>
          <w:pgNumType w:fmt="decimal"/>
          <w:cols w:space="720" w:num="1"/>
          <w:docGrid w:type="lines" w:linePitch="312" w:charSpace="0"/>
        </w:sectPr>
      </w:pPr>
    </w:p>
    <w:p>
      <w:pPr>
        <w:pStyle w:val="28"/>
        <w:rPr>
          <w:rFonts w:hint="default"/>
          <w:color w:val="auto"/>
        </w:rPr>
      </w:pPr>
      <w:r>
        <w:rPr>
          <w:color w:val="auto"/>
        </w:rPr>
        <w:t>五、技术条款</w:t>
      </w:r>
    </w:p>
    <w:p>
      <w:pPr>
        <w:pStyle w:val="29"/>
        <w:rPr>
          <w:color w:val="auto"/>
        </w:rPr>
      </w:pPr>
      <w:r>
        <w:rPr>
          <w:rFonts w:hint="eastAsia"/>
          <w:color w:val="auto"/>
        </w:rPr>
        <w:t>（一）参数要求偏离表</w:t>
      </w:r>
    </w:p>
    <w:tbl>
      <w:tblPr>
        <w:tblStyle w:val="18"/>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adjustRightInd w:val="0"/>
              <w:snapToGrid w:val="0"/>
              <w:spacing w:line="240" w:lineRule="exact"/>
              <w:ind w:firstLine="0" w:firstLineChars="0"/>
              <w:jc w:val="center"/>
              <w:rPr>
                <w:rFonts w:ascii="宋体" w:hAnsi="宋体" w:cs="等线 Light"/>
                <w:color w:val="auto"/>
                <w:sz w:val="21"/>
                <w:szCs w:val="21"/>
              </w:rPr>
            </w:pPr>
            <w:r>
              <w:rPr>
                <w:rFonts w:hint="eastAsia" w:ascii="宋体" w:hAnsi="宋体" w:cs="等线 Light"/>
                <w:color w:val="auto"/>
                <w:sz w:val="21"/>
                <w:szCs w:val="21"/>
              </w:rPr>
              <w:t>序号</w:t>
            </w:r>
          </w:p>
        </w:tc>
        <w:tc>
          <w:tcPr>
            <w:tcW w:w="1980" w:type="dxa"/>
            <w:vAlign w:val="center"/>
          </w:tcPr>
          <w:p>
            <w:pPr>
              <w:adjustRightInd w:val="0"/>
              <w:snapToGrid w:val="0"/>
              <w:spacing w:line="240" w:lineRule="exact"/>
              <w:ind w:firstLine="0" w:firstLineChars="0"/>
              <w:jc w:val="center"/>
              <w:rPr>
                <w:rFonts w:ascii="宋体" w:hAnsi="宋体" w:cs="等线 Light"/>
                <w:color w:val="auto"/>
                <w:sz w:val="21"/>
                <w:szCs w:val="21"/>
              </w:rPr>
            </w:pPr>
            <w:r>
              <w:rPr>
                <w:rFonts w:hint="eastAsia" w:ascii="宋体" w:hAnsi="宋体" w:cs="等线 Light"/>
                <w:color w:val="auto"/>
                <w:sz w:val="21"/>
                <w:szCs w:val="21"/>
              </w:rPr>
              <w:t>比选文件条目号</w:t>
            </w:r>
          </w:p>
        </w:tc>
        <w:tc>
          <w:tcPr>
            <w:tcW w:w="2056" w:type="dxa"/>
            <w:vAlign w:val="center"/>
          </w:tcPr>
          <w:p>
            <w:pPr>
              <w:adjustRightInd w:val="0"/>
              <w:snapToGrid w:val="0"/>
              <w:spacing w:line="240" w:lineRule="exact"/>
              <w:ind w:firstLine="0" w:firstLineChars="0"/>
              <w:jc w:val="center"/>
              <w:rPr>
                <w:rFonts w:ascii="宋体" w:hAnsi="宋体" w:cs="等线 Light"/>
                <w:color w:val="auto"/>
                <w:sz w:val="21"/>
                <w:szCs w:val="21"/>
              </w:rPr>
            </w:pPr>
            <w:r>
              <w:rPr>
                <w:rFonts w:hint="eastAsia" w:ascii="宋体" w:hAnsi="宋体" w:cs="等线 Light"/>
                <w:color w:val="auto"/>
                <w:sz w:val="21"/>
                <w:szCs w:val="21"/>
              </w:rPr>
              <w:t>比选文件</w:t>
            </w:r>
            <w:r>
              <w:rPr>
                <w:rFonts w:hint="eastAsia"/>
                <w:color w:val="auto"/>
              </w:rPr>
              <w:t>参数</w:t>
            </w:r>
            <w:r>
              <w:rPr>
                <w:rFonts w:hint="eastAsia" w:ascii="宋体" w:hAnsi="宋体" w:cs="等线 Light"/>
                <w:color w:val="auto"/>
                <w:sz w:val="21"/>
                <w:szCs w:val="21"/>
              </w:rPr>
              <w:t>要求</w:t>
            </w:r>
          </w:p>
        </w:tc>
        <w:tc>
          <w:tcPr>
            <w:tcW w:w="2490" w:type="dxa"/>
            <w:vAlign w:val="center"/>
          </w:tcPr>
          <w:p>
            <w:pPr>
              <w:adjustRightInd w:val="0"/>
              <w:snapToGrid w:val="0"/>
              <w:spacing w:line="240" w:lineRule="exact"/>
              <w:ind w:firstLine="0" w:firstLineChars="0"/>
              <w:jc w:val="center"/>
              <w:rPr>
                <w:rFonts w:ascii="宋体" w:hAnsi="宋体" w:cs="等线 Light"/>
                <w:color w:val="auto"/>
                <w:sz w:val="21"/>
                <w:szCs w:val="21"/>
              </w:rPr>
            </w:pPr>
            <w:r>
              <w:rPr>
                <w:rFonts w:hint="eastAsia" w:ascii="宋体" w:hAnsi="宋体" w:cs="等线 Light"/>
                <w:color w:val="auto"/>
                <w:sz w:val="21"/>
                <w:szCs w:val="21"/>
              </w:rPr>
              <w:t>参选文件对应</w:t>
            </w:r>
            <w:r>
              <w:rPr>
                <w:rFonts w:hint="eastAsia"/>
                <w:color w:val="auto"/>
              </w:rPr>
              <w:t>参数</w:t>
            </w:r>
            <w:r>
              <w:rPr>
                <w:rFonts w:hint="eastAsia" w:ascii="宋体" w:hAnsi="宋体" w:cs="等线 Light"/>
                <w:color w:val="auto"/>
                <w:sz w:val="21"/>
                <w:szCs w:val="21"/>
              </w:rPr>
              <w:t>要求</w:t>
            </w:r>
          </w:p>
        </w:tc>
        <w:tc>
          <w:tcPr>
            <w:tcW w:w="1363" w:type="dxa"/>
            <w:vAlign w:val="center"/>
          </w:tcPr>
          <w:p>
            <w:pPr>
              <w:adjustRightInd w:val="0"/>
              <w:snapToGrid w:val="0"/>
              <w:spacing w:line="240" w:lineRule="exact"/>
              <w:ind w:firstLine="0" w:firstLineChars="0"/>
              <w:jc w:val="center"/>
              <w:rPr>
                <w:rFonts w:ascii="宋体" w:hAnsi="宋体" w:cs="等线 Light"/>
                <w:color w:val="auto"/>
                <w:sz w:val="21"/>
                <w:szCs w:val="21"/>
              </w:rPr>
            </w:pPr>
            <w:r>
              <w:rPr>
                <w:rFonts w:hint="eastAsia" w:ascii="宋体" w:hAnsi="宋体" w:cs="等线 Light"/>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r>
              <w:rPr>
                <w:rFonts w:hint="eastAsia" w:ascii="宋体" w:hAnsi="宋体" w:cs="等线 Light"/>
                <w:color w:val="auto"/>
                <w:sz w:val="21"/>
                <w:szCs w:val="21"/>
              </w:rPr>
              <w:t>例</w:t>
            </w: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r>
              <w:rPr>
                <w:rFonts w:hint="eastAsia" w:ascii="宋体" w:hAnsi="宋体" w:cs="等线 Light"/>
                <w:color w:val="auto"/>
                <w:sz w:val="21"/>
                <w:szCs w:val="21"/>
              </w:rPr>
              <w:t>第三章XXX条</w:t>
            </w:r>
          </w:p>
        </w:tc>
        <w:tc>
          <w:tcPr>
            <w:tcW w:w="2056" w:type="dxa"/>
            <w:tcBorders>
              <w:left w:val="single" w:color="auto" w:sz="4" w:space="0"/>
            </w:tcBorders>
            <w:vAlign w:val="center"/>
          </w:tcPr>
          <w:p>
            <w:pPr>
              <w:spacing w:line="480" w:lineRule="auto"/>
              <w:ind w:firstLine="0" w:firstLineChars="0"/>
              <w:jc w:val="left"/>
              <w:rPr>
                <w:rFonts w:ascii="宋体" w:hAnsi="宋体" w:cs="等线 Light"/>
                <w:color w:val="auto"/>
                <w:sz w:val="21"/>
                <w:szCs w:val="21"/>
              </w:rPr>
            </w:pPr>
            <w:r>
              <w:rPr>
                <w:rFonts w:hint="eastAsia" w:ascii="宋体" w:hAnsi="宋体" w:cs="等线 Light"/>
                <w:color w:val="auto"/>
                <w:sz w:val="21"/>
                <w:szCs w:val="21"/>
              </w:rPr>
              <w:t>XXXXXX（比选文件原文）</w:t>
            </w:r>
          </w:p>
        </w:tc>
        <w:tc>
          <w:tcPr>
            <w:tcW w:w="2490" w:type="dxa"/>
            <w:tcBorders>
              <w:left w:val="single" w:color="auto" w:sz="4" w:space="0"/>
            </w:tcBorders>
            <w:vAlign w:val="center"/>
          </w:tcPr>
          <w:p>
            <w:pPr>
              <w:spacing w:line="480" w:lineRule="auto"/>
              <w:ind w:firstLine="0" w:firstLineChars="0"/>
              <w:jc w:val="left"/>
              <w:rPr>
                <w:rFonts w:ascii="宋体" w:hAnsi="宋体" w:cs="等线 Light"/>
                <w:b/>
                <w:bCs/>
                <w:color w:val="auto"/>
                <w:sz w:val="21"/>
                <w:szCs w:val="21"/>
              </w:rPr>
            </w:pPr>
            <w:r>
              <w:rPr>
                <w:rFonts w:hint="eastAsia" w:ascii="宋体" w:hAnsi="宋体" w:cs="等线 Light"/>
                <w:b/>
                <w:bCs/>
                <w:color w:val="auto"/>
                <w:sz w:val="21"/>
                <w:szCs w:val="21"/>
              </w:rPr>
              <w:t>满足</w:t>
            </w:r>
          </w:p>
          <w:p>
            <w:pPr>
              <w:spacing w:line="480" w:lineRule="auto"/>
              <w:ind w:firstLine="0" w:firstLineChars="0"/>
              <w:jc w:val="left"/>
              <w:rPr>
                <w:rFonts w:ascii="宋体" w:hAnsi="宋体" w:cs="等线 Light"/>
                <w:color w:val="auto"/>
                <w:sz w:val="21"/>
                <w:szCs w:val="21"/>
              </w:rPr>
            </w:pPr>
            <w:r>
              <w:rPr>
                <w:rFonts w:hint="eastAsia" w:ascii="宋体" w:hAnsi="宋体" w:cs="等线 Light"/>
                <w:color w:val="auto"/>
                <w:sz w:val="21"/>
                <w:szCs w:val="21"/>
              </w:rPr>
              <w:t>XXXXXX（参选文件原文）</w:t>
            </w: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r>
              <w:rPr>
                <w:rFonts w:hint="eastAsia" w:ascii="宋体" w:hAnsi="宋体" w:cs="等线 Light"/>
                <w:color w:val="auto"/>
                <w:sz w:val="21"/>
                <w:szCs w:val="21"/>
              </w:rPr>
              <w:t>满足</w:t>
            </w:r>
          </w:p>
          <w:p>
            <w:pPr>
              <w:spacing w:line="480" w:lineRule="auto"/>
              <w:ind w:firstLine="0" w:firstLineChars="0"/>
              <w:jc w:val="center"/>
              <w:rPr>
                <w:rFonts w:ascii="宋体" w:hAnsi="宋体" w:cs="等线 Light"/>
                <w:color w:val="auto"/>
                <w:sz w:val="21"/>
                <w:szCs w:val="21"/>
              </w:rPr>
            </w:pPr>
            <w:r>
              <w:rPr>
                <w:rFonts w:hint="eastAsia" w:ascii="宋体" w:hAnsi="宋体" w:cs="等线 Light"/>
                <w:color w:val="auto"/>
                <w:sz w:val="21"/>
                <w:szCs w:val="21"/>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056"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49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056"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49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056"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49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056"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49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056"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49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056"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49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056"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49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056"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49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ind w:firstLine="0" w:firstLineChars="0"/>
              <w:jc w:val="center"/>
              <w:rPr>
                <w:rFonts w:ascii="宋体" w:hAnsi="宋体" w:cs="等线 Light"/>
                <w:color w:val="auto"/>
                <w:sz w:val="21"/>
                <w:szCs w:val="21"/>
              </w:rPr>
            </w:pPr>
          </w:p>
        </w:tc>
        <w:tc>
          <w:tcPr>
            <w:tcW w:w="198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056"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2490"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c>
          <w:tcPr>
            <w:tcW w:w="1363" w:type="dxa"/>
            <w:tcBorders>
              <w:left w:val="single" w:color="auto" w:sz="4" w:space="0"/>
            </w:tcBorders>
            <w:vAlign w:val="center"/>
          </w:tcPr>
          <w:p>
            <w:pPr>
              <w:spacing w:line="480" w:lineRule="auto"/>
              <w:ind w:firstLine="0" w:firstLineChars="0"/>
              <w:jc w:val="center"/>
              <w:rPr>
                <w:rFonts w:ascii="宋体" w:hAnsi="宋体" w:cs="等线 Light"/>
                <w:color w:val="auto"/>
                <w:sz w:val="21"/>
                <w:szCs w:val="21"/>
              </w:rPr>
            </w:pPr>
          </w:p>
        </w:tc>
      </w:tr>
    </w:tbl>
    <w:p>
      <w:pPr>
        <w:autoSpaceDE/>
        <w:autoSpaceDN/>
        <w:ind w:firstLine="360"/>
        <w:rPr>
          <w:color w:val="auto"/>
          <w:sz w:val="18"/>
          <w:szCs w:val="18"/>
        </w:rPr>
      </w:pPr>
      <w:r>
        <w:rPr>
          <w:rFonts w:hint="eastAsia"/>
          <w:color w:val="auto"/>
          <w:sz w:val="18"/>
          <w:szCs w:val="18"/>
        </w:rPr>
        <w:t>注：根据第三章“3. 技术要求”中“3.2 TAP交换机技术参数要求”填写参数要求偏离表，逐一列出，填写与响应，内容齐全、无遗漏。</w:t>
      </w:r>
      <w:r>
        <w:rPr>
          <w:rFonts w:hint="eastAsia"/>
          <w:color w:val="auto"/>
          <w:sz w:val="18"/>
          <w:szCs w:val="18"/>
          <w:lang w:val="en-US" w:eastAsia="zh-CN"/>
        </w:rPr>
        <w:t>本表可扩展，</w:t>
      </w:r>
      <w:r>
        <w:rPr>
          <w:rFonts w:hint="eastAsia"/>
          <w:color w:val="auto"/>
          <w:sz w:val="18"/>
          <w:szCs w:val="18"/>
        </w:rPr>
        <w:t>需每页加盖公章。</w:t>
      </w:r>
    </w:p>
    <w:p>
      <w:pPr>
        <w:autoSpaceDE/>
        <w:autoSpaceDN/>
        <w:ind w:firstLine="360"/>
        <w:rPr>
          <w:color w:val="auto"/>
          <w:sz w:val="18"/>
          <w:szCs w:val="18"/>
        </w:rPr>
      </w:pPr>
      <w:r>
        <w:rPr>
          <w:rFonts w:hint="eastAsia"/>
          <w:color w:val="auto"/>
          <w:sz w:val="18"/>
          <w:szCs w:val="18"/>
        </w:rPr>
        <w:t>表格填写说明如下：</w:t>
      </w:r>
    </w:p>
    <w:p>
      <w:pPr>
        <w:autoSpaceDE/>
        <w:autoSpaceDN/>
        <w:ind w:firstLine="360"/>
        <w:rPr>
          <w:color w:val="auto"/>
          <w:sz w:val="18"/>
          <w:szCs w:val="18"/>
        </w:rPr>
      </w:pPr>
      <w:r>
        <w:rPr>
          <w:rFonts w:hint="eastAsia"/>
          <w:color w:val="auto"/>
          <w:sz w:val="18"/>
          <w:szCs w:val="18"/>
        </w:rPr>
        <w:t>“比选文件条目号”：详细写明第几章第几条；</w:t>
      </w:r>
    </w:p>
    <w:p>
      <w:pPr>
        <w:autoSpaceDE/>
        <w:autoSpaceDN/>
        <w:ind w:firstLine="360"/>
        <w:rPr>
          <w:color w:val="auto"/>
          <w:sz w:val="18"/>
          <w:szCs w:val="18"/>
        </w:rPr>
      </w:pPr>
      <w:r>
        <w:rPr>
          <w:rFonts w:hint="eastAsia"/>
          <w:color w:val="auto"/>
          <w:sz w:val="18"/>
          <w:szCs w:val="18"/>
        </w:rPr>
        <w:t>“</w:t>
      </w:r>
      <w:r>
        <w:rPr>
          <w:rFonts w:hint="eastAsia" w:ascii="宋体" w:hAnsi="宋体" w:cs="等线 Light"/>
          <w:color w:val="auto"/>
          <w:sz w:val="18"/>
          <w:szCs w:val="18"/>
        </w:rPr>
        <w:t>比选文件技术条款</w:t>
      </w:r>
      <w:r>
        <w:rPr>
          <w:rFonts w:hint="eastAsia"/>
          <w:color w:val="auto"/>
          <w:sz w:val="18"/>
          <w:szCs w:val="18"/>
        </w:rPr>
        <w:t>”：比选文件中该条对应内容；</w:t>
      </w:r>
    </w:p>
    <w:p>
      <w:pPr>
        <w:autoSpaceDE/>
        <w:autoSpaceDN/>
        <w:ind w:firstLine="360"/>
        <w:rPr>
          <w:color w:val="auto"/>
          <w:sz w:val="18"/>
          <w:szCs w:val="18"/>
        </w:rPr>
      </w:pPr>
      <w:r>
        <w:rPr>
          <w:rFonts w:hint="eastAsia"/>
          <w:color w:val="auto"/>
          <w:sz w:val="18"/>
          <w:szCs w:val="18"/>
        </w:rPr>
        <w:t>“</w:t>
      </w:r>
      <w:r>
        <w:rPr>
          <w:rFonts w:hint="eastAsia" w:ascii="宋体" w:hAnsi="宋体" w:cs="等线 Light"/>
          <w:color w:val="auto"/>
          <w:sz w:val="18"/>
          <w:szCs w:val="18"/>
        </w:rPr>
        <w:t>参选文件对应技术条款</w:t>
      </w:r>
      <w:r>
        <w:rPr>
          <w:rFonts w:hint="eastAsia"/>
          <w:color w:val="auto"/>
          <w:sz w:val="18"/>
          <w:szCs w:val="18"/>
        </w:rPr>
        <w:t>”：写明是否满足，并附参选文件中该条对应内容；</w:t>
      </w:r>
    </w:p>
    <w:p>
      <w:pPr>
        <w:autoSpaceDE/>
        <w:autoSpaceDN/>
        <w:ind w:firstLine="360"/>
        <w:rPr>
          <w:color w:val="auto"/>
          <w:sz w:val="18"/>
          <w:szCs w:val="18"/>
        </w:rPr>
      </w:pPr>
      <w:r>
        <w:rPr>
          <w:rFonts w:hint="eastAsia"/>
          <w:color w:val="auto"/>
          <w:sz w:val="18"/>
          <w:szCs w:val="18"/>
        </w:rPr>
        <w:t>“</w:t>
      </w:r>
      <w:r>
        <w:rPr>
          <w:rFonts w:hint="eastAsia" w:ascii="宋体" w:hAnsi="宋体" w:cs="等线 Light"/>
          <w:color w:val="auto"/>
          <w:sz w:val="18"/>
          <w:szCs w:val="18"/>
        </w:rPr>
        <w:t>说明</w:t>
      </w:r>
      <w:r>
        <w:rPr>
          <w:rFonts w:hint="eastAsia"/>
          <w:color w:val="auto"/>
          <w:sz w:val="18"/>
          <w:szCs w:val="18"/>
        </w:rPr>
        <w:t>”：填写是否满足，是否偏离。如有正/负偏离，写明偏离内容。</w:t>
      </w:r>
    </w:p>
    <w:p>
      <w:pPr>
        <w:ind w:firstLine="480"/>
        <w:rPr>
          <w:color w:val="auto"/>
        </w:rPr>
      </w:pPr>
      <w:r>
        <w:rPr>
          <w:color w:val="auto"/>
        </w:rPr>
        <w:br w:type="page"/>
      </w:r>
    </w:p>
    <w:p>
      <w:pPr>
        <w:pStyle w:val="29"/>
        <w:rPr>
          <w:color w:val="auto"/>
        </w:rPr>
      </w:pPr>
      <w:r>
        <w:rPr>
          <w:rFonts w:hint="eastAsia"/>
          <w:color w:val="auto"/>
        </w:rPr>
        <w:t>（二）技术要求响应承诺函</w:t>
      </w:r>
    </w:p>
    <w:p>
      <w:pPr>
        <w:ind w:firstLine="480"/>
        <w:rPr>
          <w:color w:val="auto"/>
        </w:rPr>
      </w:pPr>
      <w:r>
        <w:rPr>
          <w:rFonts w:hint="eastAsia"/>
          <w:color w:val="auto"/>
        </w:rPr>
        <w:t>根据第三章“3. 技术要求”内容，</w:t>
      </w:r>
      <w:r>
        <w:rPr>
          <w:rFonts w:hint="eastAsia"/>
          <w:color w:val="auto"/>
          <w:lang w:val="en-US" w:eastAsia="zh-CN"/>
        </w:rPr>
        <w:t>格式自拟，</w:t>
      </w:r>
      <w:r>
        <w:rPr>
          <w:rFonts w:hint="eastAsia"/>
          <w:color w:val="auto"/>
        </w:rPr>
        <w:t>该承诺函应包含：提供8年的原厂维保服务、提供设备7*24*4原厂响应服务、提供参选产品对应管理工具、提供永久授权等内容。</w:t>
      </w:r>
    </w:p>
    <w:p>
      <w:pPr>
        <w:ind w:firstLine="480"/>
        <w:rPr>
          <w:color w:val="auto"/>
        </w:rPr>
      </w:pPr>
    </w:p>
    <w:p>
      <w:pPr>
        <w:ind w:firstLine="480"/>
        <w:rPr>
          <w:color w:val="auto"/>
        </w:rPr>
      </w:pPr>
      <w:r>
        <w:rPr>
          <w:rFonts w:hint="eastAsia"/>
          <w:color w:val="auto"/>
        </w:rPr>
        <w:br w:type="page"/>
      </w:r>
    </w:p>
    <w:p>
      <w:pPr>
        <w:pStyle w:val="29"/>
        <w:rPr>
          <w:color w:val="auto"/>
        </w:rPr>
      </w:pPr>
      <w:r>
        <w:rPr>
          <w:rFonts w:hint="eastAsia"/>
          <w:color w:val="auto"/>
        </w:rPr>
        <w:t>（三）产品功能截图</w:t>
      </w:r>
    </w:p>
    <w:p>
      <w:pPr>
        <w:spacing w:line="240" w:lineRule="auto"/>
        <w:ind w:firstLine="480"/>
        <w:rPr>
          <w:color w:val="auto"/>
        </w:rPr>
      </w:pPr>
      <w:r>
        <w:rPr>
          <w:rFonts w:hint="eastAsia"/>
          <w:color w:val="auto"/>
        </w:rPr>
        <w:t>根据第三章第3. 条“技术要求”内容，提供产品功能截图（加盖公章）</w:t>
      </w:r>
    </w:p>
    <w:p>
      <w:pPr>
        <w:ind w:firstLine="480"/>
        <w:rPr>
          <w:color w:val="auto"/>
        </w:rPr>
      </w:pPr>
    </w:p>
    <w:p>
      <w:pPr>
        <w:spacing w:line="240" w:lineRule="auto"/>
        <w:ind w:firstLine="480"/>
        <w:rPr>
          <w:color w:val="auto"/>
        </w:rPr>
      </w:pPr>
    </w:p>
    <w:p>
      <w:pPr>
        <w:spacing w:line="240" w:lineRule="auto"/>
        <w:ind w:firstLine="480"/>
        <w:rPr>
          <w:color w:val="auto"/>
        </w:rPr>
      </w:pPr>
    </w:p>
    <w:p>
      <w:pPr>
        <w:spacing w:line="240" w:lineRule="auto"/>
        <w:ind w:firstLine="480"/>
        <w:rPr>
          <w:color w:val="auto"/>
        </w:rPr>
        <w:sectPr>
          <w:pgSz w:w="11906" w:h="16838"/>
          <w:pgMar w:top="1440" w:right="1800" w:bottom="1440" w:left="1800" w:header="851" w:footer="992" w:gutter="0"/>
          <w:pgNumType w:fmt="decimal"/>
          <w:cols w:space="720" w:num="1"/>
          <w:docGrid w:type="lines" w:linePitch="312" w:charSpace="0"/>
        </w:sectPr>
      </w:pPr>
    </w:p>
    <w:p>
      <w:pPr>
        <w:pStyle w:val="28"/>
        <w:rPr>
          <w:rFonts w:hint="default"/>
          <w:color w:val="auto"/>
        </w:rPr>
      </w:pPr>
      <w:r>
        <w:rPr>
          <w:color w:val="auto"/>
        </w:rPr>
        <w:t>六、参选保证金</w:t>
      </w: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spacing w:line="360" w:lineRule="auto"/>
        <w:ind w:firstLine="480"/>
        <w:rPr>
          <w:rFonts w:ascii="宋体" w:cs="等线 Light"/>
          <w:color w:val="auto"/>
        </w:rPr>
      </w:pPr>
    </w:p>
    <w:p>
      <w:pPr>
        <w:adjustRightInd w:val="0"/>
        <w:snapToGrid w:val="0"/>
        <w:spacing w:line="360" w:lineRule="auto"/>
        <w:ind w:firstLine="480"/>
        <w:jc w:val="left"/>
        <w:rPr>
          <w:rFonts w:ascii="宋体"/>
          <w:color w:val="auto"/>
          <w:kern w:val="0"/>
        </w:rPr>
      </w:pPr>
      <w:r>
        <w:rPr>
          <w:rFonts w:ascii="宋体"/>
          <w:color w:val="auto"/>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pPr>
        <w:tabs>
          <w:tab w:val="left" w:pos="6300"/>
        </w:tabs>
        <w:snapToGrid w:val="0"/>
        <w:spacing w:line="360" w:lineRule="auto"/>
        <w:ind w:firstLine="480"/>
        <w:rPr>
          <w:rFonts w:ascii="宋体"/>
          <w:snapToGrid w:val="0"/>
          <w:color w:val="auto"/>
          <w:kern w:val="0"/>
        </w:rPr>
      </w:pPr>
      <w:r>
        <w:rPr>
          <w:rFonts w:hint="eastAsia" w:ascii="宋体"/>
          <w:snapToGrid w:val="0"/>
          <w:color w:val="auto"/>
          <w:kern w:val="0"/>
        </w:rPr>
        <w:t>注：附</w:t>
      </w:r>
      <w:r>
        <w:rPr>
          <w:rFonts w:hint="eastAsia" w:ascii="宋体" w:cs="等线 Light"/>
          <w:snapToGrid w:val="0"/>
          <w:color w:val="auto"/>
          <w:kern w:val="0"/>
          <w:szCs w:val="24"/>
        </w:rPr>
        <w:t>参选</w:t>
      </w:r>
      <w:r>
        <w:rPr>
          <w:rFonts w:hint="eastAsia" w:ascii="宋体"/>
          <w:snapToGrid w:val="0"/>
          <w:color w:val="auto"/>
          <w:kern w:val="0"/>
        </w:rPr>
        <w:t>保证金交款凭据复印件</w:t>
      </w:r>
    </w:p>
    <w:p>
      <w:pPr>
        <w:spacing w:line="360" w:lineRule="auto"/>
        <w:ind w:firstLine="420"/>
        <w:rPr>
          <w:rFonts w:ascii="宋体" w:cs="等线 Light"/>
          <w:color w:val="auto"/>
          <w:sz w:val="21"/>
          <w:szCs w:val="21"/>
        </w:rPr>
      </w:pPr>
    </w:p>
    <w:p>
      <w:pPr>
        <w:spacing w:line="360" w:lineRule="auto"/>
        <w:ind w:firstLine="480"/>
        <w:rPr>
          <w:rFonts w:ascii="宋体" w:cs="等线 Light"/>
          <w:color w:val="auto"/>
          <w:szCs w:val="21"/>
        </w:rPr>
        <w:sectPr>
          <w:pgSz w:w="11906" w:h="16838"/>
          <w:pgMar w:top="1440" w:right="1800" w:bottom="1440" w:left="1800" w:header="851" w:footer="992" w:gutter="0"/>
          <w:pgNumType w:fmt="decimal"/>
          <w:cols w:space="720" w:num="1"/>
          <w:docGrid w:type="lines" w:linePitch="312" w:charSpace="0"/>
        </w:sectPr>
      </w:pPr>
    </w:p>
    <w:p>
      <w:pPr>
        <w:pStyle w:val="28"/>
        <w:rPr>
          <w:rFonts w:hint="default"/>
          <w:color w:val="auto"/>
        </w:rPr>
      </w:pPr>
      <w:r>
        <w:rPr>
          <w:color w:val="auto"/>
        </w:rPr>
        <w:t>七、项目实施方案</w:t>
      </w:r>
    </w:p>
    <w:p>
      <w:pPr>
        <w:tabs>
          <w:tab w:val="left" w:pos="6300"/>
        </w:tabs>
        <w:snapToGrid w:val="0"/>
        <w:spacing w:line="360" w:lineRule="auto"/>
        <w:ind w:firstLine="480"/>
        <w:jc w:val="center"/>
        <w:rPr>
          <w:rFonts w:ascii="宋体"/>
          <w:snapToGrid w:val="0"/>
          <w:color w:val="auto"/>
          <w:kern w:val="0"/>
          <w:szCs w:val="24"/>
        </w:rPr>
      </w:pPr>
      <w:r>
        <w:rPr>
          <w:rFonts w:hint="eastAsia" w:ascii="宋体"/>
          <w:snapToGrid w:val="0"/>
          <w:color w:val="auto"/>
          <w:kern w:val="0"/>
          <w:szCs w:val="24"/>
        </w:rPr>
        <w:t>（</w:t>
      </w:r>
      <w:r>
        <w:rPr>
          <w:rFonts w:hint="eastAsia"/>
          <w:color w:val="auto"/>
        </w:rPr>
        <w:t>格式自拟</w:t>
      </w:r>
      <w:r>
        <w:rPr>
          <w:rFonts w:hint="eastAsia"/>
          <w:color w:val="auto"/>
          <w:lang w:eastAsia="zh-CN"/>
        </w:rPr>
        <w:t>，</w:t>
      </w:r>
      <w:r>
        <w:rPr>
          <w:rFonts w:hint="eastAsia" w:ascii="宋体"/>
          <w:snapToGrid w:val="0"/>
          <w:color w:val="auto"/>
          <w:kern w:val="0"/>
          <w:szCs w:val="24"/>
        </w:rPr>
        <w:t>实施方案包括履行合同的时间计划、提交资料、人员安排等）</w:t>
      </w:r>
    </w:p>
    <w:p>
      <w:pPr>
        <w:pStyle w:val="4"/>
        <w:jc w:val="center"/>
        <w:rPr>
          <w:rStyle w:val="32"/>
          <w:rFonts w:hint="default"/>
          <w:b/>
          <w:color w:val="auto"/>
        </w:rPr>
      </w:pPr>
      <w:r>
        <w:rPr>
          <w:rFonts w:hint="eastAsia"/>
          <w:color w:val="auto"/>
          <w:kern w:val="0"/>
        </w:rPr>
        <w:br w:type="page"/>
      </w:r>
      <w:r>
        <w:rPr>
          <w:rFonts w:hint="eastAsia"/>
          <w:color w:val="auto"/>
          <w:kern w:val="0"/>
        </w:rPr>
        <w:t>八</w:t>
      </w:r>
      <w:r>
        <w:rPr>
          <w:rStyle w:val="32"/>
          <w:rFonts w:hint="default"/>
          <w:b/>
          <w:color w:val="auto"/>
        </w:rPr>
        <w:t>、售后服务和培训方案</w:t>
      </w:r>
    </w:p>
    <w:p>
      <w:pPr>
        <w:rPr>
          <w:color w:val="auto"/>
        </w:rPr>
      </w:pPr>
      <w:r>
        <w:rPr>
          <w:rFonts w:hint="eastAsia"/>
          <w:color w:val="auto"/>
          <w:lang w:val="en-US" w:eastAsia="zh-CN"/>
        </w:rPr>
        <w:t>根据第三章第7. 条内容提供方案，</w:t>
      </w:r>
      <w:r>
        <w:rPr>
          <w:rFonts w:hint="eastAsia"/>
          <w:color w:val="auto"/>
        </w:rPr>
        <w:t>格式自拟</w:t>
      </w:r>
    </w:p>
    <w:p>
      <w:pPr>
        <w:rPr>
          <w:color w:val="auto"/>
        </w:rPr>
      </w:pPr>
    </w:p>
    <w:p>
      <w:pPr>
        <w:rPr>
          <w:color w:val="auto"/>
        </w:rPr>
      </w:pPr>
    </w:p>
    <w:p>
      <w:pPr>
        <w:pStyle w:val="28"/>
        <w:rPr>
          <w:rFonts w:hint="default"/>
          <w:color w:val="auto"/>
        </w:rPr>
      </w:pPr>
      <w:r>
        <w:rPr>
          <w:color w:val="auto"/>
          <w:kern w:val="0"/>
        </w:rPr>
        <w:br w:type="page"/>
      </w:r>
      <w:r>
        <w:rPr>
          <w:color w:val="auto"/>
        </w:rPr>
        <w:t>九、服务连续性预案</w:t>
      </w:r>
    </w:p>
    <w:p>
      <w:pPr>
        <w:ind w:firstLine="0" w:firstLineChars="0"/>
        <w:jc w:val="center"/>
        <w:rPr>
          <w:color w:val="auto"/>
        </w:rPr>
      </w:pPr>
      <w:r>
        <w:rPr>
          <w:rFonts w:hint="eastAsia"/>
          <w:color w:val="auto"/>
        </w:rPr>
        <w:t>（</w:t>
      </w:r>
      <w:r>
        <w:rPr>
          <w:rFonts w:hint="eastAsia"/>
          <w:color w:val="auto"/>
          <w:lang w:val="en-US" w:eastAsia="zh-CN"/>
        </w:rPr>
        <w:t>格式自拟，</w:t>
      </w:r>
      <w:r>
        <w:rPr>
          <w:rFonts w:hint="eastAsia"/>
          <w:color w:val="auto"/>
        </w:rPr>
        <w:t>应考虑供应链风险产生的影响）</w:t>
      </w:r>
    </w:p>
    <w:p>
      <w:pPr>
        <w:ind w:firstLine="480"/>
        <w:rPr>
          <w:color w:val="auto"/>
        </w:rPr>
      </w:pPr>
    </w:p>
    <w:p>
      <w:pPr>
        <w:ind w:firstLine="480"/>
        <w:rPr>
          <w:color w:val="auto"/>
        </w:rPr>
      </w:pPr>
    </w:p>
    <w:p>
      <w:pPr>
        <w:ind w:firstLine="480"/>
        <w:rPr>
          <w:color w:val="auto"/>
        </w:rPr>
        <w:sectPr>
          <w:pgSz w:w="11906" w:h="16838"/>
          <w:pgMar w:top="1440" w:right="1800" w:bottom="1440" w:left="1800" w:header="851" w:footer="992" w:gutter="0"/>
          <w:pgNumType w:fmt="decimal"/>
          <w:cols w:space="720" w:num="1"/>
          <w:docGrid w:type="lines" w:linePitch="312" w:charSpace="0"/>
        </w:sectPr>
      </w:pPr>
    </w:p>
    <w:p>
      <w:pPr>
        <w:pStyle w:val="28"/>
        <w:rPr>
          <w:rFonts w:hint="default"/>
          <w:color w:val="auto"/>
        </w:rPr>
      </w:pPr>
      <w:r>
        <w:rPr>
          <w:color w:val="auto"/>
        </w:rPr>
        <w:t>十、其他（如有）</w:t>
      </w:r>
    </w:p>
    <w:p>
      <w:pPr>
        <w:ind w:firstLine="480"/>
        <w:rPr>
          <w:color w:val="auto"/>
        </w:rPr>
      </w:pPr>
    </w:p>
    <w:p>
      <w:pPr>
        <w:ind w:firstLine="480"/>
        <w:rPr>
          <w:color w:val="auto"/>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353AF"/>
    <w:multiLevelType w:val="singleLevel"/>
    <w:tmpl w:val="ECB353AF"/>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MmQxZjA1Y2YxYjcxZTkzZjljNGM2ODFmNzIxYzcifQ=="/>
  </w:docVars>
  <w:rsids>
    <w:rsidRoot w:val="00847E78"/>
    <w:rsid w:val="001257E6"/>
    <w:rsid w:val="00262E5C"/>
    <w:rsid w:val="003D7FEE"/>
    <w:rsid w:val="00674456"/>
    <w:rsid w:val="00847E78"/>
    <w:rsid w:val="00CA54EF"/>
    <w:rsid w:val="00D850B2"/>
    <w:rsid w:val="00DD0504"/>
    <w:rsid w:val="01FF5632"/>
    <w:rsid w:val="05151950"/>
    <w:rsid w:val="06875D43"/>
    <w:rsid w:val="08F5187C"/>
    <w:rsid w:val="098A626F"/>
    <w:rsid w:val="09D65B51"/>
    <w:rsid w:val="0A0F696E"/>
    <w:rsid w:val="0C232AFA"/>
    <w:rsid w:val="0C90002F"/>
    <w:rsid w:val="0F0104EA"/>
    <w:rsid w:val="1106526A"/>
    <w:rsid w:val="117117BD"/>
    <w:rsid w:val="11D57EB7"/>
    <w:rsid w:val="126523D5"/>
    <w:rsid w:val="134A09A8"/>
    <w:rsid w:val="137612B1"/>
    <w:rsid w:val="195B169D"/>
    <w:rsid w:val="1A815081"/>
    <w:rsid w:val="1E0336E1"/>
    <w:rsid w:val="1FED61F0"/>
    <w:rsid w:val="22D66F38"/>
    <w:rsid w:val="25285006"/>
    <w:rsid w:val="287C121A"/>
    <w:rsid w:val="29E4746D"/>
    <w:rsid w:val="2A943614"/>
    <w:rsid w:val="2C531B32"/>
    <w:rsid w:val="2C642975"/>
    <w:rsid w:val="2E79399D"/>
    <w:rsid w:val="2F1471D4"/>
    <w:rsid w:val="302D25DA"/>
    <w:rsid w:val="37A93866"/>
    <w:rsid w:val="3952319A"/>
    <w:rsid w:val="3AEE244B"/>
    <w:rsid w:val="3C6E4692"/>
    <w:rsid w:val="3D8E770A"/>
    <w:rsid w:val="3E6350CC"/>
    <w:rsid w:val="3F2D3FF8"/>
    <w:rsid w:val="402F4DFA"/>
    <w:rsid w:val="45636562"/>
    <w:rsid w:val="458A4B1F"/>
    <w:rsid w:val="45CE2DED"/>
    <w:rsid w:val="47B009B8"/>
    <w:rsid w:val="48C77A88"/>
    <w:rsid w:val="4FD7140A"/>
    <w:rsid w:val="504D7229"/>
    <w:rsid w:val="537F5EDF"/>
    <w:rsid w:val="573A3C7D"/>
    <w:rsid w:val="590548CC"/>
    <w:rsid w:val="5CBA4E7A"/>
    <w:rsid w:val="5CC15DC4"/>
    <w:rsid w:val="632B625F"/>
    <w:rsid w:val="63350368"/>
    <w:rsid w:val="694420C2"/>
    <w:rsid w:val="696D1EDE"/>
    <w:rsid w:val="6AA945AE"/>
    <w:rsid w:val="6ADC548C"/>
    <w:rsid w:val="6B574143"/>
    <w:rsid w:val="6DFB68DB"/>
    <w:rsid w:val="6F3A08D0"/>
    <w:rsid w:val="6FDF7997"/>
    <w:rsid w:val="71381023"/>
    <w:rsid w:val="7173590B"/>
    <w:rsid w:val="727576DB"/>
    <w:rsid w:val="74081181"/>
    <w:rsid w:val="74E5331E"/>
    <w:rsid w:val="7A9E122A"/>
    <w:rsid w:val="7D5232F3"/>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3">
    <w:name w:val="heading 1"/>
    <w:basedOn w:val="1"/>
    <w:next w:val="1"/>
    <w:link w:val="23"/>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4">
    <w:name w:val="heading 2"/>
    <w:basedOn w:val="1"/>
    <w:next w:val="1"/>
    <w:link w:val="24"/>
    <w:autoRedefine/>
    <w:unhideWhenUsed/>
    <w:qFormat/>
    <w:uiPriority w:val="9"/>
    <w:pPr>
      <w:ind w:firstLine="0" w:firstLineChars="0"/>
      <w:outlineLvl w:val="1"/>
    </w:pPr>
    <w:rPr>
      <w:rFonts w:ascii="宋体" w:hAnsi="宋体" w:cstheme="majorBidi"/>
      <w:b/>
      <w:bCs/>
      <w:snapToGrid w:val="0"/>
      <w:szCs w:val="24"/>
    </w:rPr>
  </w:style>
  <w:style w:type="paragraph" w:styleId="5">
    <w:name w:val="heading 3"/>
    <w:basedOn w:val="1"/>
    <w:next w:val="1"/>
    <w:link w:val="25"/>
    <w:autoRedefine/>
    <w:unhideWhenUsed/>
    <w:qFormat/>
    <w:uiPriority w:val="9"/>
    <w:pPr>
      <w:outlineLvl w:val="2"/>
    </w:pPr>
    <w:rPr>
      <w:b/>
      <w:bCs/>
      <w:szCs w:val="32"/>
    </w:rPr>
  </w:style>
  <w:style w:type="paragraph" w:styleId="6">
    <w:name w:val="heading 4"/>
    <w:basedOn w:val="1"/>
    <w:next w:val="1"/>
    <w:link w:val="22"/>
    <w:autoRedefine/>
    <w:qFormat/>
    <w:uiPriority w:val="0"/>
    <w:pPr>
      <w:outlineLvl w:val="3"/>
    </w:pPr>
    <w:rPr>
      <w:rFonts w:ascii="Calibri Light" w:hAnsi="Calibri Light" w:cs="Times New Roman"/>
      <w:bCs/>
      <w:szCs w:val="28"/>
    </w:rPr>
  </w:style>
  <w:style w:type="paragraph" w:styleId="7">
    <w:name w:val="heading 5"/>
    <w:basedOn w:val="1"/>
    <w:next w:val="1"/>
    <w:link w:val="27"/>
    <w:autoRedefine/>
    <w:unhideWhenUsed/>
    <w:qFormat/>
    <w:uiPriority w:val="0"/>
    <w:pPr>
      <w:spacing w:line="360" w:lineRule="auto"/>
      <w:ind w:firstLine="0" w:firstLineChars="0"/>
      <w:jc w:val="center"/>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before="100" w:beforeAutospacing="1" w:after="120"/>
    </w:pPr>
  </w:style>
  <w:style w:type="paragraph" w:styleId="9">
    <w:name w:val="annotation text"/>
    <w:basedOn w:val="1"/>
    <w:link w:val="37"/>
    <w:autoRedefine/>
    <w:qFormat/>
    <w:uiPriority w:val="0"/>
    <w:pPr>
      <w:jc w:val="left"/>
    </w:pPr>
  </w:style>
  <w:style w:type="paragraph" w:styleId="10">
    <w:name w:val="Date"/>
    <w:basedOn w:val="1"/>
    <w:next w:val="1"/>
    <w:autoRedefine/>
    <w:qFormat/>
    <w:uiPriority w:val="0"/>
    <w:rPr>
      <w:rFonts w:ascii="Times New Roman" w:hAnsi="Times New Roman" w:cs="Times New Roman"/>
    </w:r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autoRedefine/>
    <w:qFormat/>
    <w:uiPriority w:val="0"/>
  </w:style>
  <w:style w:type="paragraph" w:styleId="15">
    <w:name w:val="Subtitle"/>
    <w:basedOn w:val="1"/>
    <w:autoRedefine/>
    <w:qFormat/>
    <w:uiPriority w:val="0"/>
    <w:pPr>
      <w:spacing w:before="240" w:after="60" w:line="312" w:lineRule="auto"/>
      <w:jc w:val="center"/>
      <w:outlineLvl w:val="1"/>
    </w:pPr>
    <w:rPr>
      <w:rFonts w:ascii="Arial" w:hAnsi="Arial"/>
      <w:b/>
      <w:kern w:val="28"/>
      <w:sz w:val="32"/>
    </w:rPr>
  </w:style>
  <w:style w:type="paragraph" w:styleId="16">
    <w:name w:val="annotation subject"/>
    <w:basedOn w:val="9"/>
    <w:next w:val="9"/>
    <w:link w:val="38"/>
    <w:autoRedefine/>
    <w:qFormat/>
    <w:uiPriority w:val="0"/>
    <w:rPr>
      <w:b/>
      <w:bCs/>
    </w:rPr>
  </w:style>
  <w:style w:type="paragraph" w:styleId="17">
    <w:name w:val="Body Text First Indent"/>
    <w:basedOn w:val="1"/>
    <w:next w:val="11"/>
    <w:autoRedefine/>
    <w:qFormat/>
    <w:uiPriority w:val="0"/>
    <w:pPr>
      <w:spacing w:after="120"/>
      <w:ind w:firstLine="100" w:firstLineChars="100"/>
    </w:pPr>
    <w:rPr>
      <w:sz w:val="28"/>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autoRedefine/>
    <w:qFormat/>
    <w:uiPriority w:val="0"/>
    <w:rPr>
      <w:sz w:val="21"/>
      <w:szCs w:val="21"/>
    </w:rPr>
  </w:style>
  <w:style w:type="character" w:customStyle="1" w:styleId="22">
    <w:name w:val="标题 4 字符"/>
    <w:link w:val="6"/>
    <w:autoRedefine/>
    <w:qFormat/>
    <w:uiPriority w:val="0"/>
    <w:rPr>
      <w:rFonts w:ascii="Calibri Light" w:hAnsi="Calibri Light" w:eastAsia="宋体" w:cs="Times New Roman"/>
      <w:bCs/>
      <w:szCs w:val="28"/>
    </w:rPr>
  </w:style>
  <w:style w:type="character" w:customStyle="1" w:styleId="23">
    <w:name w:val="标题 1 字符"/>
    <w:basedOn w:val="20"/>
    <w:link w:val="3"/>
    <w:autoRedefine/>
    <w:qFormat/>
    <w:uiPriority w:val="0"/>
    <w:rPr>
      <w:rFonts w:ascii="宋体" w:hAnsi="宋体" w:eastAsia="宋体" w:cs="等线 Light"/>
      <w:b/>
      <w:snapToGrid w:val="0"/>
      <w:kern w:val="0"/>
      <w:sz w:val="44"/>
      <w:szCs w:val="44"/>
    </w:rPr>
  </w:style>
  <w:style w:type="character" w:customStyle="1" w:styleId="24">
    <w:name w:val="标题 2 字符"/>
    <w:basedOn w:val="20"/>
    <w:link w:val="4"/>
    <w:autoRedefine/>
    <w:qFormat/>
    <w:uiPriority w:val="9"/>
    <w:rPr>
      <w:rFonts w:ascii="宋体" w:hAnsi="宋体" w:cstheme="majorBidi"/>
      <w:b/>
      <w:bCs/>
      <w:snapToGrid w:val="0"/>
      <w:szCs w:val="24"/>
    </w:rPr>
  </w:style>
  <w:style w:type="character" w:customStyle="1" w:styleId="25">
    <w:name w:val="标题 3 字符"/>
    <w:basedOn w:val="20"/>
    <w:link w:val="5"/>
    <w:autoRedefine/>
    <w:qFormat/>
    <w:uiPriority w:val="9"/>
    <w:rPr>
      <w:rFonts w:eastAsia="宋体"/>
      <w:b/>
      <w:bCs/>
      <w:sz w:val="24"/>
      <w:szCs w:val="32"/>
    </w:rPr>
  </w:style>
  <w:style w:type="table" w:customStyle="1" w:styleId="26">
    <w:name w:val="网格型5"/>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标题 5 字符"/>
    <w:link w:val="7"/>
    <w:autoRedefine/>
    <w:qFormat/>
    <w:uiPriority w:val="0"/>
    <w:rPr>
      <w:rFonts w:eastAsia="宋体"/>
      <w:b/>
      <w:sz w:val="28"/>
    </w:rPr>
  </w:style>
  <w:style w:type="paragraph" w:customStyle="1" w:styleId="28">
    <w:name w:val="参选文件格式1"/>
    <w:basedOn w:val="1"/>
    <w:next w:val="1"/>
    <w:link w:val="32"/>
    <w:autoRedefine/>
    <w:qFormat/>
    <w:uiPriority w:val="0"/>
    <w:pPr>
      <w:spacing w:line="360" w:lineRule="auto"/>
      <w:ind w:firstLine="0" w:firstLineChars="0"/>
      <w:jc w:val="center"/>
      <w:outlineLvl w:val="1"/>
    </w:pPr>
    <w:rPr>
      <w:rFonts w:hint="eastAsia"/>
      <w:b/>
      <w:sz w:val="28"/>
    </w:rPr>
  </w:style>
  <w:style w:type="paragraph" w:customStyle="1" w:styleId="29">
    <w:name w:val="参选文件格式2"/>
    <w:basedOn w:val="1"/>
    <w:next w:val="1"/>
    <w:link w:val="33"/>
    <w:autoRedefine/>
    <w:qFormat/>
    <w:uiPriority w:val="0"/>
    <w:pPr>
      <w:ind w:firstLine="0" w:firstLineChars="0"/>
      <w:jc w:val="center"/>
      <w:outlineLvl w:val="2"/>
    </w:pPr>
    <w:rPr>
      <w:bCs/>
      <w:szCs w:val="32"/>
    </w:rPr>
  </w:style>
  <w:style w:type="paragraph" w:customStyle="1" w:styleId="30">
    <w:name w:val="参选文件格式3"/>
    <w:basedOn w:val="1"/>
    <w:link w:val="31"/>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31">
    <w:name w:val="参选文件格式3 Char"/>
    <w:link w:val="30"/>
    <w:autoRedefine/>
    <w:qFormat/>
    <w:uiPriority w:val="0"/>
    <w:rPr>
      <w:rFonts w:hint="eastAsia" w:ascii="宋体" w:hAnsi="宋体" w:eastAsia="宋体"/>
      <w:b/>
      <w:snapToGrid w:val="0"/>
      <w:kern w:val="0"/>
      <w:u w:val="none"/>
    </w:rPr>
  </w:style>
  <w:style w:type="character" w:customStyle="1" w:styleId="32">
    <w:name w:val="参选文件格式1 Char"/>
    <w:link w:val="28"/>
    <w:autoRedefine/>
    <w:qFormat/>
    <w:uiPriority w:val="0"/>
    <w:rPr>
      <w:rFonts w:hint="eastAsia" w:eastAsia="宋体"/>
      <w:b/>
      <w:sz w:val="28"/>
    </w:rPr>
  </w:style>
  <w:style w:type="character" w:customStyle="1" w:styleId="33">
    <w:name w:val="参选文件格式2 Char"/>
    <w:link w:val="29"/>
    <w:autoRedefine/>
    <w:qFormat/>
    <w:uiPriority w:val="0"/>
    <w:rPr>
      <w:rFonts w:eastAsia="宋体"/>
      <w:bCs/>
      <w:szCs w:val="32"/>
    </w:rPr>
  </w:style>
  <w:style w:type="character" w:customStyle="1" w:styleId="34">
    <w:name w:val="font11"/>
    <w:basedOn w:val="20"/>
    <w:autoRedefine/>
    <w:qFormat/>
    <w:uiPriority w:val="0"/>
    <w:rPr>
      <w:rFonts w:hint="eastAsia" w:ascii="宋体" w:hAnsi="宋体" w:eastAsia="宋体" w:cs="宋体"/>
      <w:b/>
      <w:bCs/>
      <w:color w:val="000000"/>
      <w:sz w:val="21"/>
      <w:szCs w:val="21"/>
      <w:u w:val="none"/>
    </w:rPr>
  </w:style>
  <w:style w:type="character" w:customStyle="1" w:styleId="35">
    <w:name w:val="font21"/>
    <w:basedOn w:val="20"/>
    <w:autoRedefine/>
    <w:qFormat/>
    <w:uiPriority w:val="0"/>
    <w:rPr>
      <w:rFonts w:hint="eastAsia" w:ascii="宋体" w:hAnsi="宋体" w:eastAsia="宋体" w:cs="宋体"/>
      <w:color w:val="000000"/>
      <w:sz w:val="21"/>
      <w:szCs w:val="21"/>
      <w:u w:val="none"/>
    </w:rPr>
  </w:style>
  <w:style w:type="character" w:customStyle="1" w:styleId="36">
    <w:name w:val="font31"/>
    <w:basedOn w:val="20"/>
    <w:autoRedefine/>
    <w:qFormat/>
    <w:uiPriority w:val="0"/>
    <w:rPr>
      <w:rFonts w:hint="eastAsia" w:ascii="宋体" w:hAnsi="宋体" w:eastAsia="宋体" w:cs="宋体"/>
      <w:color w:val="FF0000"/>
      <w:sz w:val="21"/>
      <w:szCs w:val="21"/>
      <w:u w:val="none"/>
    </w:rPr>
  </w:style>
  <w:style w:type="character" w:customStyle="1" w:styleId="37">
    <w:name w:val="批注文字 字符"/>
    <w:basedOn w:val="20"/>
    <w:link w:val="9"/>
    <w:uiPriority w:val="0"/>
    <w:rPr>
      <w:rFonts w:ascii="Cambria Math" w:hAnsi="Cambria Math" w:cs="Cambria Math"/>
      <w:kern w:val="2"/>
      <w:sz w:val="24"/>
    </w:rPr>
  </w:style>
  <w:style w:type="character" w:customStyle="1" w:styleId="38">
    <w:name w:val="批注主题 字符"/>
    <w:basedOn w:val="37"/>
    <w:link w:val="16"/>
    <w:autoRedefine/>
    <w:qFormat/>
    <w:uiPriority w:val="0"/>
    <w:rPr>
      <w:rFonts w:ascii="Cambria Math" w:hAnsi="Cambria Math" w:cs="Cambria Math"/>
      <w:b/>
      <w:bCs/>
      <w:kern w:val="2"/>
      <w:sz w:val="24"/>
    </w:rPr>
  </w:style>
  <w:style w:type="paragraph" w:customStyle="1" w:styleId="39">
    <w:name w:val="Revision"/>
    <w:autoRedefine/>
    <w:hidden/>
    <w:semiHidden/>
    <w:qFormat/>
    <w:uiPriority w:val="99"/>
    <w:rPr>
      <w:rFonts w:ascii="Cambria Math" w:hAnsi="Cambria Math" w:eastAsia="宋体" w:cs="Cambria Math"/>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3510</Words>
  <Characters>20007</Characters>
  <Lines>166</Lines>
  <Paragraphs>46</Paragraphs>
  <TotalTime>1</TotalTime>
  <ScaleCrop>false</ScaleCrop>
  <LinksUpToDate>false</LinksUpToDate>
  <CharactersWithSpaces>23471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2024-02-07T01:48:00Z</dcterms:created>
  <dc:creator>admin</dc:creator>
  <cp:lastModifiedBy>admin</cp:lastModifiedBy>
  <cp:lastPrinted>2024-02-05T07:00:00Z</cp:lastPrinted>
  <dcterms:modified xsi:type="dcterms:W3CDTF">2024-03-19T04:38:46Z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F4525E4A2B6D4B41898217DA46C4D287_13</vt:lpwstr>
  </property>
</Properties>
</file>